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997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color w:val="auto"/>
          <w:sz w:val="44"/>
          <w:szCs w:val="44"/>
        </w:rPr>
      </w:pPr>
      <w:r>
        <w:rPr>
          <w:rFonts w:eastAsia="方正小标宋简体"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-421005</wp:posOffset>
                </wp:positionV>
                <wp:extent cx="2369820" cy="40132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820" cy="40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472EACA">
                            <w:pPr>
                              <w:spacing w:line="440" w:lineRule="exact"/>
                              <w:rPr>
                                <w:rFonts w:hint="eastAsia" w:ascii="黑体" w:hAnsi="黑体" w:eastAsia="黑体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45pt;margin-top:-33.15pt;height:31.6pt;width:186.6pt;z-index:251659264;mso-width-relative:page;mso-height-relative:page;" filled="f" stroked="f" coordsize="21600,21600" o:gfxdata="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GaBMvW&#10;AAAACAEAAA8AAAAAAAAAAQAgAAAAIgAAAGRycy9kb3ducmV2LnhtbFBLAQIUABQAAAAIAIdO4kCj&#10;5y/csAEAAFwDAAAOAAAAAAAAAAEAIAAAACUBAABkcnMvZTJvRG9jLnhtbFBLBQYAAAAABgAGAFkB&#10;AAB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472EACA">
                      <w:pPr>
                        <w:spacing w:line="440" w:lineRule="exact"/>
                        <w:rPr>
                          <w:rFonts w:hint="eastAsia" w:ascii="黑体" w:hAnsi="黑体" w:eastAsia="黑体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方正小标宋简体"/>
          <w:color w:val="auto"/>
          <w:sz w:val="44"/>
          <w:szCs w:val="44"/>
          <w:lang w:val="en-US" w:eastAsia="zh-CN"/>
        </w:rPr>
        <w:t xml:space="preserve"> </w:t>
      </w:r>
      <w:r>
        <w:rPr>
          <w:rFonts w:eastAsia="方正小标宋简体"/>
          <w:color w:val="auto"/>
          <w:sz w:val="44"/>
          <w:szCs w:val="44"/>
        </w:rPr>
        <w:t>行政处罚决定书</w:t>
      </w:r>
    </w:p>
    <w:p w14:paraId="0AD824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87" w:afterLines="50" w:line="560" w:lineRule="exact"/>
        <w:jc w:val="center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</w:rPr>
        <w:t>大（西）执 罚决字〔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/>
        </w:rPr>
        <w:t>2025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</w:rPr>
        <w:t>〕第（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/>
        </w:rPr>
        <w:t>2060003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</w:rPr>
        <w:t>）号</w:t>
      </w:r>
    </w:p>
    <w:p w14:paraId="3B1FB9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河北梵城建设工程有限公司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 w14:paraId="269709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统一社会信用代码：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91130403MA07TOFG8K</w:t>
      </w:r>
    </w:p>
    <w:p w14:paraId="2FE30C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大连市西岗区香周路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100号（原衡器厂院内）</w:t>
      </w:r>
    </w:p>
    <w:p w14:paraId="167931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法定代表人：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张佳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 w14:paraId="23F7F1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证件类型及号码：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身份证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，疑似个人隐私身份信息</w:t>
      </w:r>
      <w:bookmarkStart w:id="0" w:name="_GoBack"/>
      <w:bookmarkEnd w:id="0"/>
    </w:p>
    <w:p w14:paraId="0BD386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本机关于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对河北梵城建设工程有限公司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未办理相关许可擅自砍伐树木的行为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进行了立案调查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经查，你（单位）于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2025年3月11日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在位于大连市西岗区香周路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100号（原衡器厂院内）存在未办理相关行政许可擅自砍伐胸径分别为27公分、28公分、31公分、33公分的四株槐树的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，执法人员启动执法程序，进行调查处理。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上述事实有现场勘验笔录、现场照片、《违章通知书》、调查笔录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当事人的身份证明等证据材料为证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。</w:t>
      </w:r>
    </w:p>
    <w:p w14:paraId="3C51EF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本机关已向你（单位）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下达了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大（西）执法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拟罚告字〔2025〕第2050092号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拟行政处罚告知书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告知你拟作出行政处罚决定的事实、理由、依据及内容，并告知你依法享有的权利。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你（单位）在规定时限内未提出陈述、申辩以及听证要求。</w:t>
      </w:r>
    </w:p>
    <w:p w14:paraId="22982A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机关认为，你（单位）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未办理行政许可手续擅自砍伐</w:t>
      </w:r>
    </w:p>
    <w:p w14:paraId="1933B6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树木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的行为，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违反了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《大连市城市绿化管理条例》第二十一条第一款“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凡移植或者砍伐城市绿地内各种树木的，应当报区（市）县城市管理主管部门批准”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的规定。本机关依照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《大连市城市绿化管理条例》第二十四条第（四）项“违反第二十条、第二十一条第一款规定，擅自砍伐、损毁或者移植树木的，责令按照砍伐或者移植树木株数的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3倍补植树木，并按照砍伐树木补偿费的2至5倍处以罚款。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”和《大连市人民政府办公厅关于批转市城建局、物价局、财政局调整城市树木伐移补偿费标准意见的通知》（大政办发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〔2003〕78号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）的规定，参照《西岗区城市管理综合行政执法局行政处罚自由裁量基准（城市园林绿化领域）》第八条（一）“擅自砍伐、损毁或者移植树木10株以下的，按照砍伐树种补偿费的2至3倍处以罚款”的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，鉴于你积极配合本机关对案件的调查处理，且主动认识到自身行为的违法性，决定对你从轻处罚，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对你（单位）作出如下行政处罚：</w:t>
      </w:r>
    </w:p>
    <w:p w14:paraId="260850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补植树木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12棵，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并按照砍伐树木补偿费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2倍处以罚款，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罚款人民币捌仟叁佰贰拾元整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8320.00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元）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的行政处罚。</w:t>
      </w:r>
    </w:p>
    <w:p w14:paraId="036FF2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请你（单位）在收到本决定之日起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日内，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持本决定书,到大连银行缴纳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罚款。逾期不缴纳，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本机关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将依据《中华人民共和国行政处罚法》第七十二条的规定，每日按罚款额的百分之三加处罚款。</w:t>
      </w:r>
    </w:p>
    <w:p w14:paraId="7BA2FB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不服本处罚决定，可在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到本处罚决定书之日起六十日内向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西岗区人民政府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申请行政复议，或者六个月内向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高新技术产业园区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人民法院提起行政诉讼。逾期不申请行政复议，也不提起行政诉讼，又不履行本处罚决定的，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本机关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将依法申请人民法院强制执行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或依照有关规定强制执行。</w:t>
      </w:r>
    </w:p>
    <w:p w14:paraId="3AEEE5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275C9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3CC824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43491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大连市西岗区城市管理综合行政执法局                </w:t>
      </w:r>
    </w:p>
    <w:p w14:paraId="31D655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5924" w:hanging="6080" w:hangingChars="19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693239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672C5"/>
    <w:rsid w:val="3E620BFB"/>
    <w:rsid w:val="4056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1080</Words>
  <Characters>1170</Characters>
  <Lines>0</Lines>
  <Paragraphs>0</Paragraphs>
  <TotalTime>0</TotalTime>
  <ScaleCrop>false</ScaleCrop>
  <LinksUpToDate>false</LinksUpToDate>
  <CharactersWithSpaces>1226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2025-05-07T05:10:00Z</dcterms:created>
  <dc:creator>大荣荣</dc:creator>
  <cp:lastModifiedBy>幸福的姿味</cp:lastModifiedBy>
  <dcterms:modified xsi:type="dcterms:W3CDTF">2026-03-30T08:11:29Z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313A60141FE14827BEBA59F20A8A83AF_11</vt:lpwstr>
  </property>
  <property fmtid="{D5CDD505-2E9C-101B-9397-08002B2CF9AE}" pid="4" name="KSOTemplateDocerSaveRecord">
    <vt:lpwstr>eyJoZGlkIjoiMWM2OWQ5M2MzNjhkMmVlNTgzMzRmODBlZmQ4YzQ1NzMiLCJ1c2VySWQiOiI2MTE5MDcyNTkifQ==</vt:lpwstr>
  </property>
</Properties>
</file>