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2024年西岗区司法局专职人民调解服务采购项目</w:t>
      </w: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72"/>
          <w:szCs w:val="72"/>
        </w:rPr>
      </w:pPr>
      <w:r>
        <w:rPr>
          <w:rFonts w:hint="eastAsia" w:ascii="宋体" w:hAnsi="宋体"/>
          <w:b/>
          <w:bCs/>
          <w:sz w:val="72"/>
          <w:szCs w:val="72"/>
        </w:rPr>
        <w:t>竞争性磋商采购文件</w:t>
      </w:r>
    </w:p>
    <w:p>
      <w:pPr>
        <w:rPr>
          <w:rFonts w:ascii="宋体" w:hAnsi="宋体"/>
          <w:b/>
        </w:rPr>
      </w:pPr>
    </w:p>
    <w:p>
      <w:pPr>
        <w:jc w:val="center"/>
        <w:rPr>
          <w:rFonts w:ascii="宋体" w:hAnsi="宋体"/>
          <w:sz w:val="30"/>
          <w:szCs w:val="30"/>
        </w:rPr>
      </w:pPr>
      <w:r>
        <w:rPr>
          <w:rFonts w:hint="eastAsia" w:ascii="宋体" w:hAnsi="宋体"/>
          <w:sz w:val="30"/>
          <w:szCs w:val="30"/>
        </w:rPr>
        <w:t>项目编号：HLXG2024-0101</w:t>
      </w: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ind w:firstLine="2420" w:firstLineChars="550"/>
        <w:rPr>
          <w:rFonts w:ascii="宋体" w:hAnsi="宋体"/>
          <w:sz w:val="44"/>
          <w:szCs w:val="44"/>
        </w:rPr>
      </w:pPr>
    </w:p>
    <w:p>
      <w:pPr>
        <w:ind w:firstLine="2420" w:firstLineChars="550"/>
        <w:rPr>
          <w:rFonts w:ascii="宋体" w:hAnsi="宋体"/>
          <w:sz w:val="44"/>
          <w:szCs w:val="44"/>
        </w:rPr>
      </w:pPr>
    </w:p>
    <w:p>
      <w:pPr>
        <w:rPr>
          <w:rFonts w:ascii="宋体" w:hAnsi="宋体"/>
          <w:b/>
        </w:rPr>
      </w:pPr>
    </w:p>
    <w:p>
      <w:pPr>
        <w:ind w:firstLine="1285" w:firstLineChars="400"/>
        <w:rPr>
          <w:rFonts w:ascii="宋体" w:hAnsi="宋体"/>
          <w:b/>
          <w:sz w:val="32"/>
          <w:szCs w:val="32"/>
        </w:rPr>
      </w:pPr>
      <w:r>
        <w:rPr>
          <w:rFonts w:hint="eastAsia" w:ascii="宋体" w:hAnsi="宋体"/>
          <w:b/>
          <w:sz w:val="32"/>
          <w:szCs w:val="32"/>
        </w:rPr>
        <w:t xml:space="preserve">招  标  人：大连市西岗区司法局  </w:t>
      </w:r>
    </w:p>
    <w:p>
      <w:pPr>
        <w:ind w:firstLine="1285" w:firstLineChars="400"/>
        <w:rPr>
          <w:rFonts w:ascii="宋体" w:hAnsi="宋体"/>
          <w:b/>
          <w:sz w:val="32"/>
          <w:szCs w:val="32"/>
        </w:rPr>
      </w:pPr>
      <w:r>
        <w:rPr>
          <w:rFonts w:hint="eastAsia" w:ascii="宋体" w:hAnsi="宋体"/>
          <w:b/>
          <w:sz w:val="32"/>
          <w:szCs w:val="32"/>
        </w:rPr>
        <w:t>采购代理人：大连合力项目管理有限公司</w:t>
      </w:r>
    </w:p>
    <w:p>
      <w:pPr>
        <w:ind w:firstLine="1285" w:firstLineChars="400"/>
        <w:rPr>
          <w:rFonts w:ascii="宋体" w:hAnsi="宋体"/>
          <w:b/>
          <w:sz w:val="32"/>
          <w:szCs w:val="32"/>
        </w:rPr>
      </w:pPr>
      <w:r>
        <w:rPr>
          <w:rFonts w:hint="eastAsia" w:ascii="宋体" w:hAnsi="宋体"/>
          <w:b/>
          <w:sz w:val="32"/>
          <w:szCs w:val="32"/>
        </w:rPr>
        <w:t>日      期：二0二四年</w:t>
      </w:r>
      <w:r>
        <w:rPr>
          <w:rFonts w:hint="eastAsia" w:ascii="宋体" w:hAnsi="宋体"/>
          <w:b/>
          <w:sz w:val="32"/>
          <w:szCs w:val="32"/>
          <w:lang w:val="en-US" w:eastAsia="zh-CN"/>
        </w:rPr>
        <w:t>三</w:t>
      </w:r>
      <w:r>
        <w:rPr>
          <w:rFonts w:hint="eastAsia" w:ascii="宋体" w:hAnsi="宋体"/>
          <w:b/>
          <w:sz w:val="32"/>
          <w:szCs w:val="32"/>
        </w:rPr>
        <w:t>月</w:t>
      </w:r>
    </w:p>
    <w:p>
      <w:pPr>
        <w:spacing w:line="480" w:lineRule="auto"/>
        <w:jc w:val="center"/>
        <w:rPr>
          <w:rFonts w:ascii="宋体" w:hAnsi="宋体"/>
          <w:b/>
          <w:sz w:val="32"/>
          <w:szCs w:val="32"/>
        </w:rPr>
      </w:pPr>
    </w:p>
    <w:p>
      <w:pPr>
        <w:spacing w:line="480" w:lineRule="auto"/>
        <w:jc w:val="center"/>
        <w:rPr>
          <w:rFonts w:ascii="宋体" w:hAnsi="宋体"/>
          <w:b/>
          <w:bCs/>
          <w:sz w:val="48"/>
          <w:szCs w:val="48"/>
        </w:rPr>
      </w:pPr>
    </w:p>
    <w:p>
      <w:pPr>
        <w:spacing w:line="480" w:lineRule="auto"/>
        <w:jc w:val="center"/>
        <w:rPr>
          <w:rFonts w:ascii="宋体" w:hAnsi="宋体"/>
          <w:b/>
          <w:bCs/>
          <w:sz w:val="48"/>
          <w:szCs w:val="48"/>
        </w:rPr>
      </w:pPr>
    </w:p>
    <w:p>
      <w:pPr>
        <w:spacing w:line="480" w:lineRule="auto"/>
        <w:jc w:val="center"/>
        <w:rPr>
          <w:rFonts w:ascii="宋体" w:hAnsi="宋体"/>
          <w:b/>
          <w:bCs/>
          <w:sz w:val="48"/>
          <w:szCs w:val="48"/>
        </w:rPr>
      </w:pPr>
      <w:r>
        <w:rPr>
          <w:rFonts w:hint="eastAsia" w:ascii="宋体" w:hAnsi="宋体"/>
          <w:b/>
          <w:bCs/>
          <w:sz w:val="48"/>
          <w:szCs w:val="48"/>
        </w:rPr>
        <w:t>目  录</w:t>
      </w:r>
    </w:p>
    <w:p>
      <w:pPr>
        <w:spacing w:line="480" w:lineRule="auto"/>
        <w:jc w:val="center"/>
        <w:rPr>
          <w:rFonts w:ascii="宋体" w:hAnsi="宋体"/>
          <w:sz w:val="28"/>
          <w:szCs w:val="28"/>
        </w:rPr>
      </w:pPr>
    </w:p>
    <w:p>
      <w:pPr>
        <w:pStyle w:val="18"/>
        <w:tabs>
          <w:tab w:val="right" w:leader="dot" w:pos="9061"/>
        </w:tabs>
        <w:spacing w:line="600" w:lineRule="auto"/>
        <w:ind w:firstLine="602"/>
        <w:rPr>
          <w:rFonts w:asciiTheme="minorHAnsi" w:hAnsiTheme="minorHAnsi" w:eastAsiaTheme="minorEastAsia" w:cstheme="minorBidi"/>
          <w:bCs w:val="0"/>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"_Toc142914509" </w:instrText>
      </w:r>
      <w:r>
        <w:fldChar w:fldCharType="separate"/>
      </w:r>
      <w:r>
        <w:rPr>
          <w:rStyle w:val="28"/>
          <w:rFonts w:hint="eastAsia" w:ascii="宋体"/>
          <w:color w:val="auto"/>
          <w:sz w:val="30"/>
          <w:szCs w:val="30"/>
        </w:rPr>
        <w:t>采购公告</w:t>
      </w:r>
      <w:r>
        <w:rPr>
          <w:sz w:val="30"/>
          <w:szCs w:val="30"/>
        </w:rPr>
        <w:tab/>
      </w:r>
      <w:r>
        <w:rPr>
          <w:sz w:val="30"/>
          <w:szCs w:val="30"/>
        </w:rPr>
        <w:fldChar w:fldCharType="begin"/>
      </w:r>
      <w:r>
        <w:rPr>
          <w:sz w:val="30"/>
          <w:szCs w:val="30"/>
        </w:rPr>
        <w:instrText xml:space="preserve"> PAGEREF _Toc142914509 \h </w:instrText>
      </w:r>
      <w:r>
        <w:rPr>
          <w:sz w:val="30"/>
          <w:szCs w:val="30"/>
        </w:rPr>
        <w:fldChar w:fldCharType="separate"/>
      </w:r>
      <w:r>
        <w:rPr>
          <w:sz w:val="30"/>
          <w:szCs w:val="30"/>
        </w:rPr>
        <w:t>- 2 -</w:t>
      </w:r>
      <w:r>
        <w:rPr>
          <w:sz w:val="30"/>
          <w:szCs w:val="30"/>
        </w:rPr>
        <w:fldChar w:fldCharType="end"/>
      </w:r>
      <w:r>
        <w:rPr>
          <w:sz w:val="30"/>
          <w:szCs w:val="30"/>
        </w:rPr>
        <w:fldChar w:fldCharType="end"/>
      </w:r>
    </w:p>
    <w:p>
      <w:pPr>
        <w:pStyle w:val="18"/>
        <w:tabs>
          <w:tab w:val="right" w:leader="dot" w:pos="9061"/>
        </w:tabs>
        <w:spacing w:line="600" w:lineRule="auto"/>
        <w:rPr>
          <w:rFonts w:asciiTheme="minorHAnsi" w:hAnsiTheme="minorHAnsi" w:eastAsiaTheme="minorEastAsia" w:cstheme="minorBidi"/>
          <w:bCs w:val="0"/>
          <w:sz w:val="30"/>
          <w:szCs w:val="30"/>
        </w:rPr>
      </w:pPr>
      <w:r>
        <w:fldChar w:fldCharType="begin"/>
      </w:r>
      <w:r>
        <w:instrText xml:space="preserve"> HYPERLINK \l "_Toc142914510" </w:instrText>
      </w:r>
      <w:r>
        <w:fldChar w:fldCharType="separate"/>
      </w:r>
      <w:r>
        <w:rPr>
          <w:rStyle w:val="28"/>
          <w:rFonts w:hint="eastAsia" w:ascii="宋体"/>
          <w:color w:val="auto"/>
          <w:sz w:val="30"/>
          <w:szCs w:val="30"/>
        </w:rPr>
        <w:t>第一章</w:t>
      </w:r>
      <w:r>
        <w:rPr>
          <w:rStyle w:val="28"/>
          <w:rFonts w:ascii="宋体"/>
          <w:color w:val="auto"/>
          <w:sz w:val="30"/>
          <w:szCs w:val="30"/>
        </w:rPr>
        <w:t xml:space="preserve"> </w:t>
      </w:r>
      <w:r>
        <w:rPr>
          <w:rStyle w:val="28"/>
          <w:rFonts w:hint="eastAsia" w:ascii="宋体"/>
          <w:color w:val="auto"/>
          <w:sz w:val="30"/>
          <w:szCs w:val="30"/>
        </w:rPr>
        <w:t>供应商须知</w:t>
      </w:r>
      <w:r>
        <w:rPr>
          <w:sz w:val="30"/>
          <w:szCs w:val="30"/>
        </w:rPr>
        <w:tab/>
      </w:r>
      <w:r>
        <w:rPr>
          <w:sz w:val="30"/>
          <w:szCs w:val="30"/>
        </w:rPr>
        <w:fldChar w:fldCharType="begin"/>
      </w:r>
      <w:r>
        <w:rPr>
          <w:sz w:val="30"/>
          <w:szCs w:val="30"/>
        </w:rPr>
        <w:instrText xml:space="preserve"> PAGEREF _Toc142914510 \h </w:instrText>
      </w:r>
      <w:r>
        <w:rPr>
          <w:sz w:val="30"/>
          <w:szCs w:val="30"/>
        </w:rPr>
        <w:fldChar w:fldCharType="separate"/>
      </w:r>
      <w:r>
        <w:rPr>
          <w:sz w:val="30"/>
          <w:szCs w:val="30"/>
        </w:rPr>
        <w:t>- 4 -</w:t>
      </w:r>
      <w:r>
        <w:rPr>
          <w:sz w:val="30"/>
          <w:szCs w:val="30"/>
        </w:rPr>
        <w:fldChar w:fldCharType="end"/>
      </w:r>
      <w:r>
        <w:rPr>
          <w:sz w:val="30"/>
          <w:szCs w:val="30"/>
        </w:rPr>
        <w:fldChar w:fldCharType="end"/>
      </w:r>
    </w:p>
    <w:p>
      <w:pPr>
        <w:pStyle w:val="18"/>
        <w:tabs>
          <w:tab w:val="right" w:leader="dot" w:pos="9061"/>
        </w:tabs>
        <w:spacing w:line="600" w:lineRule="auto"/>
        <w:rPr>
          <w:rFonts w:asciiTheme="minorHAnsi" w:hAnsiTheme="minorHAnsi" w:eastAsiaTheme="minorEastAsia" w:cstheme="minorBidi"/>
          <w:bCs w:val="0"/>
          <w:sz w:val="30"/>
          <w:szCs w:val="30"/>
        </w:rPr>
      </w:pPr>
      <w:r>
        <w:fldChar w:fldCharType="begin"/>
      </w:r>
      <w:r>
        <w:instrText xml:space="preserve"> HYPERLINK \l "_Toc142914511" </w:instrText>
      </w:r>
      <w:r>
        <w:fldChar w:fldCharType="separate"/>
      </w:r>
      <w:r>
        <w:rPr>
          <w:rStyle w:val="28"/>
          <w:rFonts w:hint="eastAsia" w:ascii="宋体"/>
          <w:color w:val="auto"/>
          <w:sz w:val="30"/>
          <w:szCs w:val="30"/>
        </w:rPr>
        <w:t>第二章</w:t>
      </w:r>
      <w:r>
        <w:rPr>
          <w:rStyle w:val="28"/>
          <w:rFonts w:ascii="宋体"/>
          <w:color w:val="auto"/>
          <w:sz w:val="30"/>
          <w:szCs w:val="30"/>
        </w:rPr>
        <w:t xml:space="preserve"> </w:t>
      </w:r>
      <w:r>
        <w:rPr>
          <w:rStyle w:val="28"/>
          <w:rFonts w:hint="eastAsia"/>
          <w:color w:val="auto"/>
          <w:sz w:val="30"/>
          <w:szCs w:val="30"/>
        </w:rPr>
        <w:t>合同条款及合同格式</w:t>
      </w:r>
      <w:r>
        <w:rPr>
          <w:sz w:val="30"/>
          <w:szCs w:val="30"/>
        </w:rPr>
        <w:tab/>
      </w:r>
      <w:r>
        <w:rPr>
          <w:sz w:val="30"/>
          <w:szCs w:val="30"/>
        </w:rPr>
        <w:fldChar w:fldCharType="begin"/>
      </w:r>
      <w:r>
        <w:rPr>
          <w:sz w:val="30"/>
          <w:szCs w:val="30"/>
        </w:rPr>
        <w:instrText xml:space="preserve"> PAGEREF _Toc142914511 \h </w:instrText>
      </w:r>
      <w:r>
        <w:rPr>
          <w:sz w:val="30"/>
          <w:szCs w:val="30"/>
        </w:rPr>
        <w:fldChar w:fldCharType="separate"/>
      </w:r>
      <w:r>
        <w:rPr>
          <w:sz w:val="30"/>
          <w:szCs w:val="30"/>
        </w:rPr>
        <w:t>- 21 -</w:t>
      </w:r>
      <w:r>
        <w:rPr>
          <w:sz w:val="30"/>
          <w:szCs w:val="30"/>
        </w:rPr>
        <w:fldChar w:fldCharType="end"/>
      </w:r>
      <w:r>
        <w:rPr>
          <w:sz w:val="30"/>
          <w:szCs w:val="30"/>
        </w:rPr>
        <w:fldChar w:fldCharType="end"/>
      </w:r>
    </w:p>
    <w:p>
      <w:pPr>
        <w:pStyle w:val="18"/>
        <w:tabs>
          <w:tab w:val="right" w:leader="dot" w:pos="9061"/>
        </w:tabs>
        <w:spacing w:line="600" w:lineRule="auto"/>
        <w:rPr>
          <w:rFonts w:asciiTheme="minorHAnsi" w:hAnsiTheme="minorHAnsi" w:eastAsiaTheme="minorEastAsia" w:cstheme="minorBidi"/>
          <w:bCs w:val="0"/>
          <w:sz w:val="30"/>
          <w:szCs w:val="30"/>
        </w:rPr>
      </w:pPr>
      <w:r>
        <w:fldChar w:fldCharType="begin"/>
      </w:r>
      <w:r>
        <w:instrText xml:space="preserve"> HYPERLINK \l "_Toc142914512" </w:instrText>
      </w:r>
      <w:r>
        <w:fldChar w:fldCharType="separate"/>
      </w:r>
      <w:r>
        <w:rPr>
          <w:rStyle w:val="28"/>
          <w:rFonts w:hint="eastAsia" w:ascii="宋体"/>
          <w:color w:val="auto"/>
          <w:sz w:val="30"/>
          <w:szCs w:val="30"/>
        </w:rPr>
        <w:t>第三章</w:t>
      </w:r>
      <w:r>
        <w:rPr>
          <w:rStyle w:val="28"/>
          <w:rFonts w:ascii="宋体"/>
          <w:color w:val="auto"/>
          <w:sz w:val="30"/>
          <w:szCs w:val="30"/>
        </w:rPr>
        <w:t xml:space="preserve"> </w:t>
      </w:r>
      <w:r>
        <w:rPr>
          <w:rStyle w:val="28"/>
          <w:rFonts w:hint="eastAsia" w:ascii="宋体"/>
          <w:color w:val="auto"/>
          <w:sz w:val="30"/>
          <w:szCs w:val="30"/>
        </w:rPr>
        <w:t>项目服务需求</w:t>
      </w:r>
      <w:r>
        <w:rPr>
          <w:sz w:val="30"/>
          <w:szCs w:val="30"/>
        </w:rPr>
        <w:tab/>
      </w:r>
      <w:r>
        <w:rPr>
          <w:sz w:val="30"/>
          <w:szCs w:val="30"/>
        </w:rPr>
        <w:fldChar w:fldCharType="begin"/>
      </w:r>
      <w:r>
        <w:rPr>
          <w:sz w:val="30"/>
          <w:szCs w:val="30"/>
        </w:rPr>
        <w:instrText xml:space="preserve"> PAGEREF _Toc142914512 \h </w:instrText>
      </w:r>
      <w:r>
        <w:rPr>
          <w:sz w:val="30"/>
          <w:szCs w:val="30"/>
        </w:rPr>
        <w:fldChar w:fldCharType="separate"/>
      </w:r>
      <w:r>
        <w:rPr>
          <w:sz w:val="30"/>
          <w:szCs w:val="30"/>
        </w:rPr>
        <w:t>- 26 -</w:t>
      </w:r>
      <w:r>
        <w:rPr>
          <w:sz w:val="30"/>
          <w:szCs w:val="30"/>
        </w:rPr>
        <w:fldChar w:fldCharType="end"/>
      </w:r>
      <w:r>
        <w:rPr>
          <w:sz w:val="30"/>
          <w:szCs w:val="30"/>
        </w:rPr>
        <w:fldChar w:fldCharType="end"/>
      </w:r>
    </w:p>
    <w:p>
      <w:pPr>
        <w:pStyle w:val="18"/>
        <w:tabs>
          <w:tab w:val="right" w:leader="dot" w:pos="9061"/>
        </w:tabs>
        <w:spacing w:line="600" w:lineRule="auto"/>
        <w:rPr>
          <w:rFonts w:asciiTheme="minorHAnsi" w:hAnsiTheme="minorHAnsi" w:eastAsiaTheme="minorEastAsia" w:cstheme="minorBidi"/>
          <w:bCs w:val="0"/>
          <w:sz w:val="30"/>
          <w:szCs w:val="30"/>
        </w:rPr>
      </w:pPr>
      <w:r>
        <w:fldChar w:fldCharType="begin"/>
      </w:r>
      <w:r>
        <w:instrText xml:space="preserve"> HYPERLINK \l "_Toc142914513" </w:instrText>
      </w:r>
      <w:r>
        <w:fldChar w:fldCharType="separate"/>
      </w:r>
      <w:r>
        <w:rPr>
          <w:rStyle w:val="28"/>
          <w:rFonts w:hint="eastAsia" w:ascii="宋体"/>
          <w:color w:val="auto"/>
          <w:sz w:val="30"/>
          <w:szCs w:val="30"/>
        </w:rPr>
        <w:t>第四章</w:t>
      </w:r>
      <w:r>
        <w:rPr>
          <w:rStyle w:val="28"/>
          <w:rFonts w:ascii="宋体"/>
          <w:color w:val="auto"/>
          <w:sz w:val="30"/>
          <w:szCs w:val="30"/>
        </w:rPr>
        <w:t xml:space="preserve"> </w:t>
      </w:r>
      <w:r>
        <w:rPr>
          <w:rStyle w:val="28"/>
          <w:rFonts w:hint="eastAsia" w:ascii="宋体"/>
          <w:color w:val="auto"/>
          <w:sz w:val="30"/>
          <w:szCs w:val="30"/>
        </w:rPr>
        <w:t>磋商响应文件格式</w:t>
      </w:r>
      <w:r>
        <w:rPr>
          <w:sz w:val="30"/>
          <w:szCs w:val="30"/>
        </w:rPr>
        <w:tab/>
      </w:r>
      <w:r>
        <w:rPr>
          <w:sz w:val="30"/>
          <w:szCs w:val="30"/>
        </w:rPr>
        <w:fldChar w:fldCharType="begin"/>
      </w:r>
      <w:r>
        <w:rPr>
          <w:sz w:val="30"/>
          <w:szCs w:val="30"/>
        </w:rPr>
        <w:instrText xml:space="preserve"> PAGEREF _Toc142914513 \h </w:instrText>
      </w:r>
      <w:r>
        <w:rPr>
          <w:sz w:val="30"/>
          <w:szCs w:val="30"/>
        </w:rPr>
        <w:fldChar w:fldCharType="separate"/>
      </w:r>
      <w:r>
        <w:rPr>
          <w:sz w:val="30"/>
          <w:szCs w:val="30"/>
        </w:rPr>
        <w:t>- 33 -</w:t>
      </w:r>
      <w:r>
        <w:rPr>
          <w:sz w:val="30"/>
          <w:szCs w:val="30"/>
        </w:rPr>
        <w:fldChar w:fldCharType="end"/>
      </w:r>
      <w:r>
        <w:rPr>
          <w:sz w:val="30"/>
          <w:szCs w:val="30"/>
        </w:rPr>
        <w:fldChar w:fldCharType="end"/>
      </w:r>
    </w:p>
    <w:p>
      <w:pPr>
        <w:pStyle w:val="18"/>
        <w:tabs>
          <w:tab w:val="right" w:leader="dot" w:pos="9061"/>
        </w:tabs>
        <w:spacing w:line="600" w:lineRule="auto"/>
        <w:rPr>
          <w:rFonts w:asciiTheme="minorHAnsi" w:hAnsiTheme="minorHAnsi" w:eastAsiaTheme="minorEastAsia" w:cstheme="minorBidi"/>
          <w:bCs w:val="0"/>
          <w:sz w:val="30"/>
          <w:szCs w:val="30"/>
        </w:rPr>
      </w:pPr>
      <w:r>
        <w:fldChar w:fldCharType="begin"/>
      </w:r>
      <w:r>
        <w:instrText xml:space="preserve"> HYPERLINK \l "_Toc142914514" </w:instrText>
      </w:r>
      <w:r>
        <w:fldChar w:fldCharType="separate"/>
      </w:r>
      <w:r>
        <w:rPr>
          <w:rStyle w:val="28"/>
          <w:rFonts w:hint="eastAsia" w:ascii="宋体"/>
          <w:color w:val="auto"/>
          <w:sz w:val="30"/>
          <w:szCs w:val="30"/>
        </w:rPr>
        <w:t>评</w:t>
      </w:r>
      <w:r>
        <w:rPr>
          <w:rStyle w:val="28"/>
          <w:rFonts w:ascii="宋体"/>
          <w:color w:val="auto"/>
          <w:sz w:val="30"/>
          <w:szCs w:val="30"/>
        </w:rPr>
        <w:t xml:space="preserve"> </w:t>
      </w:r>
      <w:r>
        <w:rPr>
          <w:rStyle w:val="28"/>
          <w:rFonts w:hint="eastAsia" w:ascii="宋体"/>
          <w:color w:val="auto"/>
          <w:sz w:val="30"/>
          <w:szCs w:val="30"/>
        </w:rPr>
        <w:t>审</w:t>
      </w:r>
      <w:r>
        <w:rPr>
          <w:rStyle w:val="28"/>
          <w:rFonts w:ascii="宋体"/>
          <w:color w:val="auto"/>
          <w:sz w:val="30"/>
          <w:szCs w:val="30"/>
        </w:rPr>
        <w:t xml:space="preserve"> </w:t>
      </w:r>
      <w:r>
        <w:rPr>
          <w:rStyle w:val="28"/>
          <w:rFonts w:hint="eastAsia" w:ascii="宋体"/>
          <w:color w:val="auto"/>
          <w:sz w:val="30"/>
          <w:szCs w:val="30"/>
        </w:rPr>
        <w:t>方</w:t>
      </w:r>
      <w:r>
        <w:rPr>
          <w:rStyle w:val="28"/>
          <w:rFonts w:ascii="宋体"/>
          <w:color w:val="auto"/>
          <w:sz w:val="30"/>
          <w:szCs w:val="30"/>
        </w:rPr>
        <w:t xml:space="preserve"> </w:t>
      </w:r>
      <w:r>
        <w:rPr>
          <w:rStyle w:val="28"/>
          <w:rFonts w:hint="eastAsia" w:ascii="宋体"/>
          <w:color w:val="auto"/>
          <w:sz w:val="30"/>
          <w:szCs w:val="30"/>
        </w:rPr>
        <w:t>法</w:t>
      </w:r>
      <w:r>
        <w:rPr>
          <w:sz w:val="30"/>
          <w:szCs w:val="30"/>
        </w:rPr>
        <w:tab/>
      </w:r>
      <w:r>
        <w:rPr>
          <w:sz w:val="30"/>
          <w:szCs w:val="30"/>
        </w:rPr>
        <w:fldChar w:fldCharType="begin"/>
      </w:r>
      <w:r>
        <w:rPr>
          <w:sz w:val="30"/>
          <w:szCs w:val="30"/>
        </w:rPr>
        <w:instrText xml:space="preserve"> PAGEREF _Toc142914514 \h </w:instrText>
      </w:r>
      <w:r>
        <w:rPr>
          <w:sz w:val="30"/>
          <w:szCs w:val="30"/>
        </w:rPr>
        <w:fldChar w:fldCharType="separate"/>
      </w:r>
      <w:r>
        <w:rPr>
          <w:sz w:val="30"/>
          <w:szCs w:val="30"/>
        </w:rPr>
        <w:t>- 51 -</w:t>
      </w:r>
      <w:r>
        <w:rPr>
          <w:sz w:val="30"/>
          <w:szCs w:val="30"/>
        </w:rPr>
        <w:fldChar w:fldCharType="end"/>
      </w:r>
      <w:r>
        <w:rPr>
          <w:sz w:val="30"/>
          <w:szCs w:val="30"/>
        </w:rPr>
        <w:fldChar w:fldCharType="end"/>
      </w:r>
    </w:p>
    <w:p>
      <w:pPr>
        <w:pStyle w:val="18"/>
        <w:tabs>
          <w:tab w:val="right" w:leader="dot" w:pos="9061"/>
        </w:tabs>
        <w:spacing w:line="600" w:lineRule="auto"/>
        <w:ind w:firstLine="600"/>
        <w:rPr>
          <w:rFonts w:asciiTheme="minorHAnsi" w:hAnsiTheme="minorHAnsi" w:eastAsiaTheme="minorEastAsia" w:cstheme="minorBidi"/>
          <w:bCs w:val="0"/>
          <w:sz w:val="30"/>
          <w:szCs w:val="30"/>
        </w:rPr>
      </w:pPr>
    </w:p>
    <w:p>
      <w:pPr>
        <w:spacing w:line="600" w:lineRule="auto"/>
        <w:rPr>
          <w:rFonts w:asciiTheme="minorEastAsia" w:hAnsiTheme="minorEastAsia" w:eastAsiaTheme="minorEastAsia"/>
          <w:b/>
          <w:sz w:val="28"/>
          <w:szCs w:val="28"/>
        </w:rPr>
      </w:pPr>
      <w:r>
        <w:rPr>
          <w:rFonts w:asciiTheme="minorEastAsia" w:hAnsiTheme="minorEastAsia" w:eastAsiaTheme="minorEastAsia"/>
          <w:b/>
          <w:sz w:val="30"/>
          <w:szCs w:val="30"/>
        </w:rPr>
        <w:fldChar w:fldCharType="end"/>
      </w:r>
    </w:p>
    <w:p>
      <w:pPr>
        <w:spacing w:line="384" w:lineRule="auto"/>
        <w:ind w:firstLine="24" w:firstLineChars="10"/>
        <w:rPr>
          <w:rFonts w:ascii="宋体" w:hAnsi="宋体"/>
          <w:sz w:val="24"/>
        </w:rPr>
      </w:pPr>
    </w:p>
    <w:p>
      <w:pPr>
        <w:spacing w:line="384" w:lineRule="auto"/>
        <w:ind w:firstLine="24" w:firstLineChars="10"/>
        <w:jc w:val="distribute"/>
        <w:rPr>
          <w:rFonts w:ascii="宋体" w:hAnsi="宋体"/>
          <w:sz w:val="24"/>
        </w:rPr>
      </w:pPr>
    </w:p>
    <w:p>
      <w:pPr>
        <w:spacing w:line="840" w:lineRule="auto"/>
        <w:ind w:firstLine="28" w:firstLineChars="10"/>
        <w:rPr>
          <w:rFonts w:ascii="宋体" w:hAnsi="宋体"/>
          <w:sz w:val="28"/>
          <w:szCs w:val="28"/>
        </w:rPr>
      </w:pPr>
    </w:p>
    <w:p>
      <w:pPr>
        <w:spacing w:line="840" w:lineRule="auto"/>
        <w:ind w:firstLine="280" w:firstLineChars="100"/>
        <w:rPr>
          <w:rFonts w:ascii="宋体" w:hAnsi="宋体"/>
          <w:sz w:val="28"/>
          <w:szCs w:val="28"/>
        </w:rPr>
      </w:pPr>
    </w:p>
    <w:p>
      <w:pPr>
        <w:jc w:val="center"/>
        <w:rPr>
          <w:rFonts w:ascii="宋体" w:hAnsi="宋体"/>
          <w:b/>
          <w:bCs/>
          <w:sz w:val="30"/>
          <w:szCs w:val="30"/>
        </w:rPr>
      </w:pPr>
      <w:r>
        <w:rPr>
          <w:rFonts w:hint="eastAsia" w:ascii="宋体" w:hAnsi="宋体"/>
          <w:bCs/>
          <w:sz w:val="44"/>
        </w:rPr>
        <w:br w:type="page"/>
      </w:r>
      <w:bookmarkStart w:id="0" w:name="OLE_LINK1"/>
      <w:bookmarkStart w:id="1" w:name="OLE_LINK2"/>
      <w:bookmarkStart w:id="2" w:name="OLE_LINK4"/>
      <w:r>
        <w:rPr>
          <w:rFonts w:hint="eastAsia" w:ascii="宋体" w:hAnsi="宋体"/>
          <w:b/>
          <w:bCs/>
          <w:sz w:val="30"/>
          <w:szCs w:val="30"/>
        </w:rPr>
        <w:t>2024年西岗区司法局专职人民调解服务采购项目</w:t>
      </w:r>
    </w:p>
    <w:p>
      <w:pPr>
        <w:pStyle w:val="2"/>
        <w:rPr>
          <w:rFonts w:ascii="宋体" w:hAnsi="宋体"/>
          <w:b w:val="0"/>
          <w:bCs w:val="0"/>
          <w:sz w:val="32"/>
          <w:szCs w:val="32"/>
        </w:rPr>
      </w:pPr>
      <w:bookmarkStart w:id="3" w:name="_Toc142914509"/>
      <w:r>
        <w:rPr>
          <w:rFonts w:hint="eastAsia" w:ascii="宋体" w:hAnsi="宋体"/>
          <w:b w:val="0"/>
          <w:bCs w:val="0"/>
          <w:sz w:val="32"/>
          <w:szCs w:val="32"/>
        </w:rPr>
        <w:t>采购公告</w:t>
      </w:r>
      <w:bookmarkEnd w:id="3"/>
    </w:p>
    <w:bookmarkEnd w:id="0"/>
    <w:p>
      <w:pPr>
        <w:ind w:firstLine="480" w:firstLineChars="200"/>
        <w:rPr>
          <w:rFonts w:ascii="宋体" w:hAnsi="宋体"/>
          <w:bCs/>
          <w:sz w:val="24"/>
        </w:rPr>
      </w:pPr>
      <w:bookmarkStart w:id="4" w:name="OLE_LINK3"/>
      <w:r>
        <w:rPr>
          <w:rFonts w:hint="eastAsia" w:ascii="宋体" w:hAnsi="宋体"/>
          <w:bCs/>
          <w:sz w:val="24"/>
        </w:rPr>
        <w:t>2024年西岗区司法局专职人民调解服务采购项目的潜在供应商应在</w:t>
      </w:r>
      <w:r>
        <w:rPr>
          <w:rFonts w:ascii="宋体" w:hAnsi="宋体"/>
          <w:bCs/>
          <w:sz w:val="24"/>
        </w:rPr>
        <w:t>大连市政府采购云平台http://ccgp-dalian.gov.cn/</w:t>
      </w:r>
      <w:r>
        <w:rPr>
          <w:rFonts w:hint="eastAsia" w:ascii="宋体" w:hAnsi="宋体"/>
          <w:bCs/>
          <w:sz w:val="24"/>
        </w:rPr>
        <w:t>获取采购文件，并于</w:t>
      </w:r>
      <w:r>
        <w:rPr>
          <w:rFonts w:hint="eastAsia" w:ascii="宋体" w:hAnsi="宋体"/>
          <w:bCs/>
          <w:sz w:val="24"/>
          <w:lang w:eastAsia="zh-CN"/>
        </w:rPr>
        <w:t>2024年*月*日</w:t>
      </w:r>
      <w:r>
        <w:rPr>
          <w:rFonts w:hint="eastAsia" w:ascii="宋体" w:hAnsi="宋体"/>
          <w:bCs/>
          <w:sz w:val="24"/>
        </w:rPr>
        <w:t>09:30时（北京时间）前递交投标响应文件</w:t>
      </w:r>
    </w:p>
    <w:p>
      <w:pPr>
        <w:rPr>
          <w:rFonts w:ascii="宋体" w:hAnsi="宋体" w:cs="宋体"/>
          <w:b/>
          <w:sz w:val="24"/>
        </w:rPr>
      </w:pPr>
      <w:bookmarkStart w:id="5" w:name="_Toc28359079"/>
      <w:bookmarkStart w:id="6" w:name="_Toc28359002"/>
      <w:bookmarkStart w:id="7" w:name="_Toc35393790"/>
      <w:bookmarkStart w:id="8" w:name="_Toc35393621"/>
      <w:bookmarkStart w:id="9" w:name="_Hlk24379207"/>
      <w:r>
        <w:rPr>
          <w:rFonts w:hint="eastAsia" w:ascii="宋体" w:hAnsi="宋体" w:cs="宋体"/>
          <w:b/>
          <w:sz w:val="24"/>
        </w:rPr>
        <w:t>一、项目基本情况</w:t>
      </w:r>
      <w:bookmarkEnd w:id="5"/>
      <w:bookmarkEnd w:id="6"/>
      <w:bookmarkEnd w:id="7"/>
      <w:bookmarkEnd w:id="8"/>
    </w:p>
    <w:p>
      <w:pPr>
        <w:ind w:firstLine="480" w:firstLineChars="200"/>
        <w:rPr>
          <w:rFonts w:ascii="宋体" w:hAnsi="宋体"/>
          <w:sz w:val="24"/>
        </w:rPr>
      </w:pPr>
      <w:r>
        <w:rPr>
          <w:rFonts w:hint="eastAsia" w:ascii="宋体" w:hAnsi="宋体"/>
          <w:sz w:val="24"/>
        </w:rPr>
        <w:t>项目编号：HLXG2024-0101</w:t>
      </w:r>
    </w:p>
    <w:p>
      <w:pPr>
        <w:ind w:firstLine="480" w:firstLineChars="200"/>
        <w:rPr>
          <w:rFonts w:ascii="宋体" w:hAnsi="宋体"/>
          <w:bCs/>
          <w:sz w:val="24"/>
        </w:rPr>
      </w:pPr>
      <w:r>
        <w:rPr>
          <w:rFonts w:hint="eastAsia" w:ascii="宋体" w:hAnsi="宋体"/>
          <w:sz w:val="24"/>
        </w:rPr>
        <w:t>项目名称：</w:t>
      </w:r>
      <w:bookmarkEnd w:id="9"/>
      <w:r>
        <w:rPr>
          <w:rFonts w:hint="eastAsia" w:ascii="宋体" w:hAnsi="宋体"/>
          <w:bCs/>
          <w:sz w:val="24"/>
        </w:rPr>
        <w:t>2024年西岗区司法局专职人民调解服务采购项目</w:t>
      </w:r>
    </w:p>
    <w:p>
      <w:pPr>
        <w:ind w:firstLine="480" w:firstLineChars="200"/>
        <w:rPr>
          <w:rFonts w:ascii="宋体" w:hAnsi="宋体"/>
          <w:sz w:val="24"/>
        </w:rPr>
      </w:pPr>
      <w:r>
        <w:rPr>
          <w:rFonts w:hint="eastAsia" w:ascii="宋体" w:hAnsi="宋体"/>
          <w:sz w:val="24"/>
        </w:rPr>
        <w:t xml:space="preserve">采购方式：□竞争性谈判 </w:t>
      </w:r>
      <w:r>
        <w:rPr>
          <w:rFonts w:hint="eastAsia" w:ascii="宋体" w:hAnsi="宋体"/>
          <w:sz w:val="24"/>
        </w:rPr>
        <w:sym w:font="Wingdings 2" w:char="F052"/>
      </w:r>
      <w:r>
        <w:rPr>
          <w:rFonts w:hint="eastAsia" w:ascii="宋体" w:hAnsi="宋体"/>
          <w:sz w:val="24"/>
        </w:rPr>
        <w:t>竞争性磋商 □询价</w:t>
      </w:r>
    </w:p>
    <w:p>
      <w:pPr>
        <w:ind w:firstLine="480" w:firstLineChars="200"/>
        <w:rPr>
          <w:rFonts w:ascii="宋体" w:hAnsi="宋体"/>
          <w:sz w:val="24"/>
        </w:rPr>
      </w:pPr>
      <w:r>
        <w:rPr>
          <w:rFonts w:hint="eastAsia" w:ascii="宋体" w:hAnsi="宋体"/>
          <w:sz w:val="24"/>
        </w:rPr>
        <w:t>预算金额：75.24万元</w:t>
      </w:r>
    </w:p>
    <w:p>
      <w:pPr>
        <w:ind w:firstLine="480" w:firstLineChars="200"/>
        <w:rPr>
          <w:rFonts w:ascii="宋体" w:hAnsi="宋体"/>
          <w:sz w:val="24"/>
        </w:rPr>
      </w:pPr>
      <w:r>
        <w:rPr>
          <w:rFonts w:hint="eastAsia" w:ascii="宋体" w:hAnsi="宋体"/>
          <w:sz w:val="24"/>
        </w:rPr>
        <w:t>最高限价：75.24万元</w:t>
      </w:r>
    </w:p>
    <w:p>
      <w:pPr>
        <w:ind w:firstLine="480" w:firstLineChars="200"/>
        <w:rPr>
          <w:rFonts w:ascii="宋体" w:hAnsi="宋体"/>
          <w:sz w:val="24"/>
        </w:rPr>
      </w:pPr>
      <w:r>
        <w:rPr>
          <w:rFonts w:hint="eastAsia" w:ascii="宋体" w:hAnsi="宋体"/>
          <w:sz w:val="24"/>
        </w:rPr>
        <w:t>采购需求：</w:t>
      </w:r>
      <w:r>
        <w:rPr>
          <w:rFonts w:hint="eastAsia" w:ascii="宋体" w:hAnsi="宋体"/>
          <w:bCs/>
          <w:sz w:val="24"/>
        </w:rPr>
        <w:t>专职人民调解服务单位一家</w:t>
      </w:r>
      <w:r>
        <w:rPr>
          <w:rFonts w:hint="eastAsia" w:ascii="宋体" w:hAnsi="宋体"/>
          <w:sz w:val="24"/>
        </w:rPr>
        <w:t>（详细内容见招标文件）</w:t>
      </w:r>
    </w:p>
    <w:p>
      <w:pPr>
        <w:ind w:firstLine="480" w:firstLineChars="200"/>
        <w:rPr>
          <w:rFonts w:ascii="宋体" w:hAnsi="宋体"/>
          <w:sz w:val="24"/>
        </w:rPr>
      </w:pPr>
      <w:r>
        <w:rPr>
          <w:rFonts w:hint="eastAsia" w:ascii="宋体" w:hAnsi="宋体"/>
          <w:sz w:val="24"/>
        </w:rPr>
        <w:t>合同履行期限：</w:t>
      </w:r>
      <w:r>
        <w:rPr>
          <w:rFonts w:hint="eastAsia" w:ascii="宋体" w:hAnsi="宋体"/>
          <w:bCs/>
          <w:sz w:val="24"/>
        </w:rPr>
        <w:t>自合同签订之日起一年（在采购人落实下一年度财政预算的前提下，且本项目采购需求相对固定、具有延续性，价格变化幅度小，双方协商同意，可依据本次采购结果所签订的合同续签一年,最多续签两次）</w:t>
      </w:r>
    </w:p>
    <w:p>
      <w:pPr>
        <w:ind w:firstLine="480" w:firstLineChars="200"/>
        <w:rPr>
          <w:rFonts w:ascii="宋体" w:hAnsi="宋体"/>
          <w:sz w:val="24"/>
        </w:rPr>
      </w:pPr>
      <w:r>
        <w:rPr>
          <w:rFonts w:hint="eastAsia" w:ascii="宋体" w:hAnsi="宋体"/>
          <w:sz w:val="24"/>
        </w:rPr>
        <w:t>本项目不接受联合体投标。</w:t>
      </w:r>
    </w:p>
    <w:p>
      <w:pPr>
        <w:rPr>
          <w:rFonts w:ascii="宋体" w:hAnsi="宋体" w:cs="宋体"/>
          <w:b/>
          <w:sz w:val="24"/>
        </w:rPr>
      </w:pPr>
      <w:bookmarkStart w:id="10" w:name="_Toc28359080"/>
      <w:bookmarkStart w:id="11" w:name="_Toc35393791"/>
      <w:bookmarkStart w:id="12" w:name="_Toc35393622"/>
      <w:bookmarkStart w:id="13" w:name="_Toc28359003"/>
      <w:r>
        <w:rPr>
          <w:rFonts w:hint="eastAsia" w:ascii="宋体" w:hAnsi="宋体" w:cs="宋体"/>
          <w:b/>
          <w:sz w:val="24"/>
        </w:rPr>
        <w:t>二、申请人的资格要求：</w:t>
      </w:r>
      <w:bookmarkEnd w:id="10"/>
      <w:bookmarkEnd w:id="11"/>
      <w:bookmarkEnd w:id="12"/>
      <w:bookmarkEnd w:id="13"/>
    </w:p>
    <w:p>
      <w:pPr>
        <w:ind w:firstLine="480" w:firstLineChars="200"/>
        <w:rPr>
          <w:rFonts w:ascii="宋体" w:hAnsi="宋体"/>
          <w:bCs/>
          <w:sz w:val="24"/>
        </w:rPr>
      </w:pPr>
      <w:bookmarkStart w:id="14" w:name="_Toc28359081"/>
      <w:bookmarkStart w:id="15" w:name="_Toc28359004"/>
      <w:r>
        <w:rPr>
          <w:rFonts w:hint="eastAsia" w:ascii="宋体" w:hAnsi="宋体"/>
          <w:bCs/>
          <w:sz w:val="24"/>
        </w:rPr>
        <w:t xml:space="preserve">1.满足《中华人民共和国政府采购法》第二十二条规定； </w:t>
      </w:r>
    </w:p>
    <w:p>
      <w:pPr>
        <w:ind w:firstLine="480" w:firstLineChars="200"/>
        <w:rPr>
          <w:rFonts w:ascii="宋体" w:hAnsi="宋体"/>
          <w:bCs/>
          <w:sz w:val="24"/>
        </w:rPr>
      </w:pPr>
      <w:r>
        <w:rPr>
          <w:rFonts w:hint="eastAsia" w:ascii="宋体" w:hAnsi="宋体"/>
          <w:bCs/>
          <w:sz w:val="24"/>
        </w:rPr>
        <w:t xml:space="preserve">2.落实政府采购政策需满足的资格要求： </w:t>
      </w:r>
    </w:p>
    <w:p>
      <w:pPr>
        <w:ind w:firstLine="480" w:firstLineChars="200"/>
        <w:rPr>
          <w:rFonts w:ascii="宋体" w:hAnsi="宋体"/>
          <w:bCs/>
          <w:sz w:val="24"/>
        </w:rPr>
      </w:pPr>
      <w:r>
        <w:rPr>
          <w:rFonts w:hint="eastAsia" w:ascii="宋体" w:hAnsi="宋体"/>
          <w:bCs/>
          <w:sz w:val="24"/>
        </w:rPr>
        <w:t>（1）本项目专门面向中小企业采购，按照财库【2020】46号，财政部、工业和信息化部关于印发《政府采购促进中小企业发展管理办法》的通知执行；（2）中小企业划型标准参照《工业和信息化部、统计局、发展改革委、财政部关于印发中小企业划型标准规定的通知》（工信部联企业〔2011〕300号）；（3）根据《关于促进残疾人就业政府采购政策的通知》财库〔2017〕141号、财政部《司法部关于政府采购支持监狱企业发展有关问题的通知》财库〔2014〕68号的规定，残疾人福利性单位、监狱企业视同小型和微型企业。</w:t>
      </w:r>
    </w:p>
    <w:p>
      <w:pPr>
        <w:ind w:firstLine="480" w:firstLineChars="200"/>
        <w:rPr>
          <w:rFonts w:ascii="宋体" w:hAnsi="宋体"/>
          <w:bCs/>
          <w:sz w:val="24"/>
        </w:rPr>
      </w:pPr>
      <w:r>
        <w:rPr>
          <w:rFonts w:hint="eastAsia" w:ascii="宋体" w:hAnsi="宋体"/>
          <w:bCs/>
          <w:sz w:val="24"/>
        </w:rPr>
        <w:t>3.本项目的特定资格要求：无。</w:t>
      </w:r>
    </w:p>
    <w:p>
      <w:pPr>
        <w:ind w:firstLine="480" w:firstLineChars="200"/>
        <w:rPr>
          <w:rFonts w:ascii="宋体" w:hAnsi="宋体"/>
          <w:bCs/>
          <w:sz w:val="24"/>
        </w:rPr>
      </w:pPr>
      <w:r>
        <w:rPr>
          <w:rFonts w:hint="eastAsia" w:ascii="宋体" w:hAnsi="宋体"/>
          <w:bCs/>
          <w:sz w:val="24"/>
        </w:rPr>
        <w:t>注：项目评审开始前在开标室进行查询，经“信用中国”网站（www.creditchina.gov.cn）、“信用辽宁”网站（www.xyln.net）、“信用大连”网站（credit.dl.cn）、“中国政府采购网”网站（www.ccgp.gov.cn）查询，被列入失信被执行人、重大税收违法案件当事人名单、政府采购严重违法失信行为记录名单的不得参加本采购项目。</w:t>
      </w:r>
    </w:p>
    <w:p>
      <w:pPr>
        <w:rPr>
          <w:rFonts w:ascii="宋体" w:hAnsi="宋体" w:cs="宋体"/>
          <w:b/>
          <w:sz w:val="24"/>
        </w:rPr>
      </w:pPr>
      <w:bookmarkStart w:id="16" w:name="_Toc35393623"/>
      <w:bookmarkStart w:id="17" w:name="_Toc35393792"/>
      <w:r>
        <w:rPr>
          <w:rFonts w:hint="eastAsia" w:ascii="宋体" w:hAnsi="宋体" w:cs="宋体"/>
          <w:b/>
          <w:sz w:val="24"/>
        </w:rPr>
        <w:t>三、获取采购文件</w:t>
      </w:r>
      <w:bookmarkEnd w:id="14"/>
      <w:bookmarkEnd w:id="15"/>
      <w:bookmarkEnd w:id="16"/>
      <w:bookmarkEnd w:id="17"/>
    </w:p>
    <w:p>
      <w:pPr>
        <w:ind w:firstLine="480" w:firstLineChars="200"/>
        <w:rPr>
          <w:rFonts w:ascii="宋体" w:hAnsi="宋体"/>
          <w:sz w:val="24"/>
        </w:rPr>
      </w:pPr>
      <w:r>
        <w:rPr>
          <w:rFonts w:hint="eastAsia" w:ascii="宋体" w:hAnsi="宋体"/>
          <w:sz w:val="24"/>
        </w:rPr>
        <w:t>时间：</w:t>
      </w:r>
      <w:r>
        <w:rPr>
          <w:rFonts w:hint="eastAsia" w:ascii="宋体" w:hAnsi="宋体"/>
          <w:sz w:val="24"/>
          <w:lang w:eastAsia="zh-CN"/>
        </w:rPr>
        <w:t>2024年*月*日</w:t>
      </w:r>
      <w:r>
        <w:rPr>
          <w:rFonts w:hint="eastAsia" w:ascii="宋体" w:hAnsi="宋体"/>
          <w:sz w:val="24"/>
        </w:rPr>
        <w:t>至</w:t>
      </w:r>
      <w:bookmarkStart w:id="47" w:name="_GoBack"/>
      <w:bookmarkEnd w:id="47"/>
      <w:r>
        <w:rPr>
          <w:rFonts w:hint="eastAsia" w:ascii="宋体" w:hAnsi="宋体"/>
          <w:sz w:val="24"/>
          <w:lang w:eastAsia="zh-CN"/>
        </w:rPr>
        <w:t>2024年*月*日</w:t>
      </w:r>
      <w:r>
        <w:rPr>
          <w:rFonts w:hint="eastAsia" w:ascii="宋体" w:hAnsi="宋体"/>
          <w:sz w:val="24"/>
        </w:rPr>
        <w:t>（北京时间）</w:t>
      </w:r>
    </w:p>
    <w:p>
      <w:pPr>
        <w:ind w:firstLine="480" w:firstLineChars="200"/>
        <w:rPr>
          <w:rFonts w:ascii="宋体" w:hAnsi="宋体"/>
          <w:sz w:val="24"/>
        </w:rPr>
      </w:pPr>
      <w:r>
        <w:rPr>
          <w:rFonts w:hint="eastAsia" w:ascii="宋体" w:hAnsi="宋体"/>
          <w:sz w:val="24"/>
        </w:rPr>
        <w:t>地点：</w:t>
      </w:r>
      <w:r>
        <w:rPr>
          <w:rFonts w:ascii="宋体" w:hAnsi="宋体"/>
          <w:sz w:val="24"/>
        </w:rPr>
        <w:t>大连市政府采购云平台线上获取。</w:t>
      </w:r>
      <w:r>
        <w:rPr>
          <w:rFonts w:hint="eastAsia" w:ascii="宋体" w:hAnsi="宋体"/>
          <w:sz w:val="24"/>
        </w:rPr>
        <w:t>(</w:t>
      </w:r>
      <w:r>
        <w:rPr>
          <w:rFonts w:ascii="宋体" w:hAnsi="宋体"/>
          <w:sz w:val="24"/>
        </w:rPr>
        <w:t>http://ccgp-dalian.gov.cn/</w:t>
      </w:r>
      <w:r>
        <w:rPr>
          <w:rFonts w:hint="eastAsia" w:ascii="宋体" w:hAnsi="宋体"/>
          <w:sz w:val="24"/>
        </w:rPr>
        <w:t>)</w:t>
      </w:r>
    </w:p>
    <w:p>
      <w:pPr>
        <w:ind w:firstLine="480" w:firstLineChars="200"/>
        <w:rPr>
          <w:rFonts w:ascii="宋体" w:hAnsi="宋体"/>
          <w:sz w:val="24"/>
        </w:rPr>
      </w:pPr>
      <w:r>
        <w:rPr>
          <w:rFonts w:ascii="宋体" w:hAnsi="宋体"/>
          <w:sz w:val="24"/>
        </w:rPr>
        <w:t>方式：供应商登录大连市政府采购云平台在线申请获取采购文件（进入“项目采购”应用，在获取采购文件菜单中选择项目，申请获取采购文件）</w:t>
      </w:r>
    </w:p>
    <w:p>
      <w:pPr>
        <w:rPr>
          <w:rFonts w:ascii="宋体" w:hAnsi="宋体" w:cs="宋体"/>
          <w:b/>
          <w:sz w:val="24"/>
        </w:rPr>
      </w:pPr>
      <w:bookmarkStart w:id="18" w:name="_Toc28359005"/>
      <w:bookmarkStart w:id="19" w:name="_Toc35393793"/>
      <w:bookmarkStart w:id="20" w:name="_Toc28359082"/>
      <w:bookmarkStart w:id="21" w:name="_Toc35393624"/>
      <w:r>
        <w:rPr>
          <w:rFonts w:hint="eastAsia" w:ascii="宋体" w:hAnsi="宋体" w:cs="宋体"/>
          <w:b/>
          <w:sz w:val="24"/>
        </w:rPr>
        <w:t>四、</w:t>
      </w:r>
      <w:bookmarkEnd w:id="18"/>
      <w:bookmarkEnd w:id="19"/>
      <w:bookmarkEnd w:id="20"/>
      <w:bookmarkEnd w:id="21"/>
      <w:r>
        <w:rPr>
          <w:rFonts w:hint="eastAsia" w:ascii="宋体" w:hAnsi="宋体" w:cs="宋体"/>
          <w:b/>
          <w:sz w:val="24"/>
        </w:rPr>
        <w:t>响应文件提交</w:t>
      </w:r>
    </w:p>
    <w:p>
      <w:pPr>
        <w:ind w:firstLine="480" w:firstLineChars="200"/>
        <w:rPr>
          <w:rFonts w:ascii="宋体" w:hAnsi="宋体"/>
          <w:sz w:val="24"/>
        </w:rPr>
      </w:pPr>
      <w:r>
        <w:rPr>
          <w:rFonts w:ascii="宋体" w:hAnsi="宋体"/>
          <w:sz w:val="24"/>
        </w:rPr>
        <w:t>截止时间：</w:t>
      </w:r>
      <w:r>
        <w:rPr>
          <w:rFonts w:hint="eastAsia" w:ascii="宋体" w:hAnsi="宋体"/>
          <w:sz w:val="24"/>
          <w:lang w:eastAsia="zh-CN"/>
        </w:rPr>
        <w:t>2024年*月*日</w:t>
      </w:r>
      <w:r>
        <w:rPr>
          <w:rFonts w:ascii="宋体" w:hAnsi="宋体"/>
          <w:sz w:val="24"/>
        </w:rPr>
        <w:t xml:space="preserve"> 09:</w:t>
      </w:r>
      <w:r>
        <w:rPr>
          <w:rFonts w:hint="eastAsia" w:ascii="宋体" w:hAnsi="宋体"/>
          <w:sz w:val="24"/>
        </w:rPr>
        <w:t>3</w:t>
      </w:r>
      <w:r>
        <w:rPr>
          <w:rFonts w:ascii="宋体" w:hAnsi="宋体"/>
          <w:sz w:val="24"/>
        </w:rPr>
        <w:t>0(北京时间)</w:t>
      </w:r>
    </w:p>
    <w:p>
      <w:pPr>
        <w:ind w:firstLine="480" w:firstLineChars="200"/>
        <w:rPr>
          <w:rFonts w:ascii="宋体" w:hAnsi="宋体"/>
          <w:sz w:val="24"/>
        </w:rPr>
      </w:pPr>
      <w:r>
        <w:rPr>
          <w:rFonts w:ascii="宋体" w:hAnsi="宋体"/>
          <w:sz w:val="24"/>
        </w:rPr>
        <w:t>地点：</w:t>
      </w:r>
      <w:r>
        <w:rPr>
          <w:rFonts w:hint="eastAsia" w:ascii="宋体" w:hAnsi="宋体"/>
          <w:bCs/>
          <w:sz w:val="24"/>
          <w:szCs w:val="21"/>
        </w:rPr>
        <w:t>大连市政府采购云平台</w:t>
      </w:r>
    </w:p>
    <w:p>
      <w:pPr>
        <w:rPr>
          <w:rFonts w:ascii="宋体" w:hAnsi="宋体" w:cs="宋体"/>
          <w:b/>
          <w:sz w:val="24"/>
        </w:rPr>
      </w:pPr>
      <w:r>
        <w:rPr>
          <w:rFonts w:hint="eastAsia" w:ascii="宋体" w:hAnsi="宋体" w:cs="宋体"/>
          <w:b/>
          <w:sz w:val="24"/>
        </w:rPr>
        <w:t>五、开启</w:t>
      </w:r>
    </w:p>
    <w:p>
      <w:pPr>
        <w:ind w:firstLine="480" w:firstLineChars="200"/>
        <w:rPr>
          <w:rFonts w:ascii="宋体" w:hAnsi="宋体"/>
          <w:sz w:val="24"/>
        </w:rPr>
      </w:pPr>
      <w:r>
        <w:rPr>
          <w:rFonts w:ascii="宋体" w:hAnsi="宋体"/>
          <w:sz w:val="24"/>
        </w:rPr>
        <w:t>时间：</w:t>
      </w:r>
      <w:r>
        <w:rPr>
          <w:rFonts w:hint="eastAsia" w:ascii="宋体" w:hAnsi="宋体"/>
          <w:sz w:val="24"/>
          <w:lang w:eastAsia="zh-CN"/>
        </w:rPr>
        <w:t>2024年*月*日</w:t>
      </w:r>
      <w:r>
        <w:rPr>
          <w:rFonts w:ascii="宋体" w:hAnsi="宋体"/>
          <w:sz w:val="24"/>
        </w:rPr>
        <w:t xml:space="preserve"> 09:</w:t>
      </w:r>
      <w:r>
        <w:rPr>
          <w:rFonts w:hint="eastAsia" w:ascii="宋体" w:hAnsi="宋体"/>
          <w:sz w:val="24"/>
        </w:rPr>
        <w:t>3</w:t>
      </w:r>
      <w:r>
        <w:rPr>
          <w:rFonts w:ascii="宋体" w:hAnsi="宋体"/>
          <w:sz w:val="24"/>
        </w:rPr>
        <w:t>0(北京时间)</w:t>
      </w:r>
    </w:p>
    <w:p>
      <w:pPr>
        <w:ind w:firstLine="480" w:firstLineChars="200"/>
        <w:rPr>
          <w:rFonts w:ascii="宋体" w:hAnsi="宋体"/>
          <w:sz w:val="24"/>
        </w:rPr>
      </w:pPr>
      <w:r>
        <w:rPr>
          <w:rFonts w:ascii="宋体" w:hAnsi="宋体"/>
          <w:sz w:val="24"/>
        </w:rPr>
        <w:t>地点：</w:t>
      </w:r>
      <w:r>
        <w:rPr>
          <w:rFonts w:hint="eastAsia" w:ascii="宋体" w:hAnsi="宋体"/>
          <w:bCs/>
          <w:sz w:val="24"/>
          <w:szCs w:val="21"/>
        </w:rPr>
        <w:t>大连市政府采购云平台</w:t>
      </w:r>
    </w:p>
    <w:p>
      <w:pPr>
        <w:rPr>
          <w:rFonts w:ascii="宋体" w:hAnsi="宋体" w:cs="宋体"/>
          <w:b/>
          <w:sz w:val="24"/>
        </w:rPr>
      </w:pPr>
      <w:bookmarkStart w:id="22" w:name="_Toc28359007"/>
      <w:bookmarkStart w:id="23" w:name="_Toc35393625"/>
      <w:bookmarkStart w:id="24" w:name="_Toc35393794"/>
      <w:bookmarkStart w:id="25" w:name="_Toc28359084"/>
      <w:r>
        <w:rPr>
          <w:rFonts w:hint="eastAsia" w:ascii="宋体" w:hAnsi="宋体" w:cs="宋体"/>
          <w:b/>
          <w:sz w:val="24"/>
        </w:rPr>
        <w:t>六、公告期限</w:t>
      </w:r>
      <w:bookmarkEnd w:id="22"/>
      <w:bookmarkEnd w:id="23"/>
      <w:bookmarkEnd w:id="24"/>
      <w:bookmarkEnd w:id="25"/>
    </w:p>
    <w:p>
      <w:pPr>
        <w:ind w:firstLine="480" w:firstLineChars="200"/>
        <w:rPr>
          <w:rFonts w:ascii="宋体" w:hAnsi="宋体"/>
          <w:sz w:val="24"/>
        </w:rPr>
      </w:pPr>
      <w:r>
        <w:rPr>
          <w:rFonts w:hint="eastAsia" w:ascii="宋体" w:hAnsi="宋体"/>
          <w:sz w:val="24"/>
        </w:rPr>
        <w:t>自本公告发布之日起5个工作日。</w:t>
      </w:r>
    </w:p>
    <w:p>
      <w:pPr>
        <w:rPr>
          <w:rFonts w:ascii="宋体" w:hAnsi="宋体" w:cs="宋体"/>
          <w:b/>
          <w:sz w:val="24"/>
        </w:rPr>
      </w:pPr>
      <w:bookmarkStart w:id="26" w:name="_Toc35393795"/>
      <w:bookmarkStart w:id="27" w:name="_Toc35393626"/>
      <w:r>
        <w:rPr>
          <w:rFonts w:hint="eastAsia" w:ascii="宋体" w:hAnsi="宋体" w:cs="宋体"/>
          <w:b/>
          <w:sz w:val="24"/>
        </w:rPr>
        <w:t>七、其他补充事宜</w:t>
      </w:r>
      <w:bookmarkEnd w:id="26"/>
      <w:bookmarkEnd w:id="27"/>
    </w:p>
    <w:p>
      <w:pPr>
        <w:ind w:firstLine="480" w:firstLineChars="200"/>
        <w:rPr>
          <w:rFonts w:ascii="宋体" w:hAnsi="宋体"/>
          <w:sz w:val="24"/>
        </w:rPr>
      </w:pPr>
      <w:r>
        <w:rPr>
          <w:rFonts w:ascii="宋体" w:hAnsi="宋体"/>
          <w:sz w:val="24"/>
        </w:rPr>
        <w:t>1.在线递交投标文件。供应商应在规定的提交投标文件截止时间前登陆大连市政府采购云平台，凭数字证书（CA）在线上传完成符合规定格式要求的投标文件。投标文件需要供应商凭数字证书（CA）进行在线解密。</w:t>
      </w:r>
      <w:r>
        <w:rPr>
          <w:rFonts w:hint="eastAsia" w:ascii="宋体" w:hAnsi="宋体"/>
          <w:sz w:val="24"/>
        </w:rPr>
        <w:t>投标人可咨询电话0411-39014467，自主办理数字证书(CA)。</w:t>
      </w:r>
    </w:p>
    <w:p>
      <w:pPr>
        <w:ind w:firstLine="480" w:firstLineChars="200"/>
        <w:rPr>
          <w:rFonts w:ascii="宋体" w:hAnsi="宋体"/>
          <w:sz w:val="24"/>
        </w:rPr>
      </w:pPr>
      <w:r>
        <w:rPr>
          <w:rFonts w:ascii="宋体" w:hAnsi="宋体"/>
          <w:sz w:val="24"/>
        </w:rPr>
        <w:t>2.本项目开标为线上不见面开标，具体业务流程及操作手册请于“http://ccgp-dalian.gov.cn/luban/category?parentId=55844&amp;childrenCode=dlzfcgCategory111”处自行下载查询学习，并提前按照要求调整好浏览器等相关设置，避免无法在指定时间进入本项目开标大厅参加项目开标、投标文件解密、报价确认操作，若因投标人自身原因无法在规定时间内进行解密或解密不成功，视为投标文件无效，投标人自行承担相关后果。</w:t>
      </w:r>
    </w:p>
    <w:p>
      <w:pPr>
        <w:ind w:firstLine="480" w:firstLineChars="200"/>
        <w:rPr>
          <w:rFonts w:ascii="宋体" w:hAnsi="宋体"/>
          <w:sz w:val="24"/>
        </w:rPr>
      </w:pPr>
      <w:r>
        <w:rPr>
          <w:rFonts w:ascii="宋体" w:hAnsi="宋体"/>
          <w:sz w:val="24"/>
        </w:rPr>
        <w:t>3.本项目为远程不见面开标，各投标人须在投标文件的“投标人需说明的其它问题”中，写明本项目的联系人及联系电话（建议包含手机及座机号码），并注意接听来电，以便重要事宜的通知。若因联系电话错误、关机、无法接通等原因无法联系到投标人，投标人自行承担相应后果。</w:t>
      </w:r>
    </w:p>
    <w:p>
      <w:pPr>
        <w:ind w:firstLine="480" w:firstLineChars="200"/>
        <w:rPr>
          <w:rFonts w:ascii="宋体" w:hAnsi="宋体"/>
          <w:sz w:val="24"/>
        </w:rPr>
      </w:pPr>
      <w:r>
        <w:rPr>
          <w:rFonts w:ascii="宋体" w:hAnsi="宋体"/>
          <w:sz w:val="24"/>
        </w:rPr>
        <w:t>4.请各供应商在本项目开标前完成大连市政府采购云平台注册并须审核通过（</w:t>
      </w:r>
      <w:r>
        <w:rPr>
          <w:rFonts w:hint="eastAsia" w:ascii="宋体" w:hAnsi="宋体"/>
          <w:sz w:val="24"/>
        </w:rPr>
        <w:t>技术支持</w:t>
      </w:r>
      <w:r>
        <w:rPr>
          <w:rFonts w:ascii="宋体" w:hAnsi="宋体"/>
          <w:sz w:val="24"/>
        </w:rPr>
        <w:t>电话：95763）。</w:t>
      </w:r>
    </w:p>
    <w:p>
      <w:pPr>
        <w:rPr>
          <w:rFonts w:ascii="宋体" w:hAnsi="宋体" w:cs="宋体"/>
          <w:b/>
          <w:sz w:val="24"/>
        </w:rPr>
      </w:pPr>
      <w:bookmarkStart w:id="28" w:name="_Toc35393627"/>
      <w:bookmarkStart w:id="29" w:name="_Toc35393796"/>
      <w:bookmarkStart w:id="30" w:name="_Toc28359085"/>
      <w:bookmarkStart w:id="31" w:name="_Toc28359008"/>
      <w:r>
        <w:rPr>
          <w:rFonts w:hint="eastAsia" w:ascii="宋体" w:hAnsi="宋体" w:cs="宋体"/>
          <w:b/>
          <w:sz w:val="24"/>
        </w:rPr>
        <w:t>八、</w:t>
      </w:r>
      <w:bookmarkEnd w:id="28"/>
      <w:bookmarkEnd w:id="29"/>
      <w:bookmarkEnd w:id="30"/>
      <w:bookmarkEnd w:id="31"/>
      <w:r>
        <w:rPr>
          <w:rFonts w:hint="eastAsia" w:ascii="宋体" w:hAnsi="宋体" w:cs="宋体"/>
          <w:b/>
          <w:sz w:val="24"/>
        </w:rPr>
        <w:t>凡对本次采购提出询问，请按</w:t>
      </w:r>
      <w:r>
        <w:rPr>
          <w:rFonts w:ascii="宋体" w:hAnsi="宋体" w:cs="宋体"/>
          <w:b/>
          <w:sz w:val="24"/>
        </w:rPr>
        <w:t>以下方式</w:t>
      </w:r>
      <w:r>
        <w:rPr>
          <w:rFonts w:hint="eastAsia" w:ascii="宋体" w:hAnsi="宋体" w:cs="宋体"/>
          <w:b/>
          <w:sz w:val="24"/>
        </w:rPr>
        <w:t>联系。</w:t>
      </w:r>
    </w:p>
    <w:p>
      <w:pPr>
        <w:ind w:firstLine="480" w:firstLineChars="200"/>
        <w:rPr>
          <w:rFonts w:ascii="宋体" w:hAnsi="宋体"/>
          <w:sz w:val="24"/>
        </w:rPr>
      </w:pPr>
      <w:r>
        <w:rPr>
          <w:rFonts w:hint="eastAsia" w:ascii="宋体" w:hAnsi="宋体"/>
          <w:sz w:val="24"/>
        </w:rPr>
        <w:t>1.采购人信息</w:t>
      </w:r>
    </w:p>
    <w:p>
      <w:pPr>
        <w:ind w:firstLine="480" w:firstLineChars="200"/>
        <w:rPr>
          <w:rFonts w:ascii="宋体" w:hAnsi="宋体"/>
          <w:sz w:val="24"/>
        </w:rPr>
      </w:pPr>
      <w:r>
        <w:rPr>
          <w:rFonts w:hint="eastAsia" w:ascii="宋体" w:hAnsi="宋体"/>
          <w:sz w:val="24"/>
        </w:rPr>
        <w:t>名    称：</w:t>
      </w:r>
      <w:bookmarkStart w:id="32" w:name="_Toc28359086"/>
      <w:bookmarkStart w:id="33" w:name="_Toc28359009"/>
      <w:r>
        <w:rPr>
          <w:rFonts w:hint="eastAsia" w:ascii="宋体" w:hAnsi="宋体"/>
          <w:sz w:val="24"/>
        </w:rPr>
        <w:t>大连市西岗区司法局</w:t>
      </w:r>
    </w:p>
    <w:p>
      <w:pPr>
        <w:ind w:firstLine="480" w:firstLineChars="200"/>
        <w:rPr>
          <w:rFonts w:ascii="宋体" w:hAnsi="宋体"/>
          <w:sz w:val="24"/>
        </w:rPr>
      </w:pPr>
      <w:r>
        <w:rPr>
          <w:rFonts w:hint="eastAsia" w:ascii="宋体" w:hAnsi="宋体"/>
          <w:sz w:val="24"/>
        </w:rPr>
        <w:t>地    址：大连市西岗区双兴街25号</w:t>
      </w:r>
    </w:p>
    <w:p>
      <w:pPr>
        <w:ind w:firstLine="480" w:firstLineChars="200"/>
        <w:rPr>
          <w:rFonts w:ascii="宋体" w:hAnsi="宋体"/>
          <w:sz w:val="24"/>
        </w:rPr>
      </w:pPr>
      <w:r>
        <w:rPr>
          <w:rFonts w:hint="eastAsia" w:ascii="宋体" w:hAnsi="宋体"/>
          <w:sz w:val="24"/>
        </w:rPr>
        <w:t>电    话：0411-83663003</w:t>
      </w:r>
    </w:p>
    <w:p>
      <w:pPr>
        <w:ind w:firstLine="480" w:firstLineChars="200"/>
        <w:rPr>
          <w:rFonts w:ascii="宋体" w:hAnsi="宋体"/>
          <w:sz w:val="24"/>
        </w:rPr>
      </w:pPr>
      <w:r>
        <w:rPr>
          <w:rFonts w:hint="eastAsia" w:ascii="宋体" w:hAnsi="宋体"/>
          <w:sz w:val="24"/>
        </w:rPr>
        <w:t>2.采购代理机构信息</w:t>
      </w:r>
      <w:bookmarkEnd w:id="32"/>
      <w:bookmarkEnd w:id="33"/>
    </w:p>
    <w:p>
      <w:pPr>
        <w:ind w:firstLine="480" w:firstLineChars="200"/>
        <w:rPr>
          <w:rFonts w:ascii="宋体" w:hAnsi="宋体"/>
          <w:sz w:val="24"/>
        </w:rPr>
      </w:pPr>
      <w:r>
        <w:rPr>
          <w:rFonts w:hint="eastAsia" w:ascii="宋体" w:hAnsi="宋体"/>
          <w:sz w:val="24"/>
        </w:rPr>
        <w:t>名    称：大连合力项目管理有限公司</w:t>
      </w:r>
    </w:p>
    <w:p>
      <w:pPr>
        <w:ind w:firstLine="480" w:firstLineChars="200"/>
        <w:rPr>
          <w:rFonts w:ascii="宋体" w:hAnsi="宋体"/>
          <w:sz w:val="24"/>
        </w:rPr>
      </w:pPr>
      <w:r>
        <w:rPr>
          <w:rFonts w:hint="eastAsia" w:ascii="宋体" w:hAnsi="宋体"/>
          <w:sz w:val="24"/>
        </w:rPr>
        <w:t xml:space="preserve">联 系 人：孙栋、姜晓云、孔祥兰           </w:t>
      </w:r>
    </w:p>
    <w:p>
      <w:pPr>
        <w:ind w:firstLine="480" w:firstLineChars="200"/>
        <w:rPr>
          <w:rFonts w:ascii="宋体" w:hAnsi="宋体"/>
          <w:sz w:val="24"/>
        </w:rPr>
      </w:pPr>
      <w:r>
        <w:rPr>
          <w:rFonts w:hint="eastAsia" w:ascii="宋体" w:hAnsi="宋体"/>
          <w:sz w:val="24"/>
        </w:rPr>
        <w:t>电    话：0411-83012677</w:t>
      </w:r>
    </w:p>
    <w:p>
      <w:pPr>
        <w:ind w:firstLine="480" w:firstLineChars="200"/>
        <w:rPr>
          <w:rFonts w:hint="eastAsia" w:ascii="宋体" w:hAnsi="宋体" w:eastAsia="宋体"/>
          <w:sz w:val="24"/>
          <w:lang w:eastAsia="zh-CN"/>
        </w:rPr>
      </w:pPr>
      <w:r>
        <w:rPr>
          <w:rFonts w:hint="eastAsia" w:ascii="宋体" w:hAnsi="宋体"/>
          <w:sz w:val="24"/>
        </w:rPr>
        <w:t>地    址：</w:t>
      </w:r>
      <w:bookmarkEnd w:id="1"/>
      <w:bookmarkEnd w:id="4"/>
      <w:r>
        <w:rPr>
          <w:rFonts w:hint="eastAsia" w:ascii="宋体" w:hAnsi="宋体"/>
          <w:sz w:val="24"/>
          <w:lang w:eastAsia="zh-CN"/>
        </w:rPr>
        <w:t>大连市沙河口区联合路6A国资创新大厦2506室</w:t>
      </w:r>
    </w:p>
    <w:bookmarkEnd w:id="2"/>
    <w:p>
      <w:pPr>
        <w:ind w:firstLine="480" w:firstLineChars="200"/>
        <w:rPr>
          <w:rFonts w:ascii="宋体" w:hAnsi="宋体"/>
          <w:sz w:val="24"/>
        </w:rPr>
      </w:pPr>
      <w:r>
        <w:rPr>
          <w:rFonts w:hint="eastAsia" w:ascii="宋体" w:hAnsi="宋体"/>
          <w:sz w:val="24"/>
        </w:rPr>
        <w:br w:type="page"/>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pStyle w:val="2"/>
        <w:rPr>
          <w:rFonts w:ascii="宋体" w:hAnsi="宋体"/>
          <w:b w:val="0"/>
          <w:bCs w:val="0"/>
          <w:sz w:val="44"/>
        </w:rPr>
      </w:pPr>
      <w:bookmarkStart w:id="34" w:name="_Toc142914510"/>
      <w:r>
        <w:rPr>
          <w:rFonts w:hint="eastAsia" w:ascii="宋体" w:hAnsi="宋体"/>
          <w:b w:val="0"/>
          <w:bCs w:val="0"/>
          <w:sz w:val="44"/>
        </w:rPr>
        <w:t>第一章 供应商须知</w:t>
      </w:r>
      <w:bookmarkEnd w:id="34"/>
    </w:p>
    <w:p/>
    <w:p/>
    <w:p/>
    <w:p/>
    <w:p>
      <w:pPr>
        <w:jc w:val="center"/>
        <w:rPr>
          <w:rFonts w:ascii="宋体" w:hAnsi="宋体"/>
          <w:b/>
          <w:sz w:val="36"/>
          <w:szCs w:val="36"/>
        </w:rPr>
      </w:pPr>
      <w:r>
        <w:rPr>
          <w:rFonts w:hint="eastAsia" w:ascii="宋体" w:hAnsi="宋体"/>
          <w:bCs/>
          <w:sz w:val="44"/>
        </w:rPr>
        <w:br w:type="page"/>
      </w:r>
      <w:r>
        <w:rPr>
          <w:rFonts w:hint="eastAsia" w:ascii="宋体" w:hAnsi="宋体"/>
          <w:b/>
          <w:sz w:val="36"/>
          <w:szCs w:val="36"/>
        </w:rPr>
        <w:t>供应商须知前附表</w:t>
      </w:r>
    </w:p>
    <w:tbl>
      <w:tblPr>
        <w:tblStyle w:val="23"/>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8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8" w:type="dxa"/>
            <w:tcBorders>
              <w:top w:val="single" w:color="auto" w:sz="4" w:space="0"/>
              <w:left w:val="single" w:color="auto" w:sz="4" w:space="0"/>
              <w:bottom w:val="single" w:color="auto" w:sz="4" w:space="0"/>
              <w:right w:val="single" w:color="auto" w:sz="4" w:space="0"/>
            </w:tcBorders>
            <w:vAlign w:val="center"/>
          </w:tcPr>
          <w:p>
            <w:pPr>
              <w:pStyle w:val="42"/>
              <w:widowControl w:val="0"/>
              <w:pBdr>
                <w:left w:val="none" w:color="auto" w:sz="0" w:space="0"/>
                <w:bottom w:val="none" w:color="auto" w:sz="0" w:space="0"/>
                <w:right w:val="none" w:color="auto" w:sz="0" w:space="0"/>
              </w:pBdr>
              <w:spacing w:before="0" w:beforeAutospacing="0" w:after="0" w:afterAutospacing="0"/>
              <w:rPr>
                <w:rFonts w:ascii="宋体" w:eastAsia="宋体"/>
                <w:kern w:val="2"/>
              </w:rPr>
            </w:pPr>
            <w:r>
              <w:rPr>
                <w:rFonts w:hint="eastAsia" w:ascii="宋体" w:eastAsia="宋体"/>
                <w:kern w:val="2"/>
              </w:rPr>
              <w:t>1</w:t>
            </w:r>
          </w:p>
        </w:tc>
        <w:tc>
          <w:tcPr>
            <w:tcW w:w="86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项目名称：2024年西岗区司法局专职人民调解服务采购项目</w:t>
            </w:r>
          </w:p>
          <w:p>
            <w:pPr>
              <w:rPr>
                <w:rFonts w:ascii="宋体" w:hAnsi="宋体"/>
                <w:sz w:val="24"/>
              </w:rPr>
            </w:pPr>
            <w:r>
              <w:rPr>
                <w:rFonts w:hint="eastAsia" w:ascii="宋体" w:hAnsi="宋体"/>
                <w:sz w:val="24"/>
              </w:rPr>
              <w:t>项目编号：HLXG2024-0101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86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采购人名称:</w:t>
            </w:r>
            <w:r>
              <w:rPr>
                <w:rFonts w:hint="eastAsia" w:ascii="宋体" w:hAnsi="宋体" w:cs="宋体"/>
                <w:kern w:val="0"/>
                <w:sz w:val="24"/>
              </w:rPr>
              <w:t xml:space="preserve"> 大连市西岗区司法局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86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r>
              <w:rPr>
                <w:rFonts w:hint="eastAsia" w:ascii="宋体" w:hAnsi="宋体"/>
                <w:sz w:val="24"/>
                <w:szCs w:val="21"/>
              </w:rPr>
              <w:t>资金来</w:t>
            </w:r>
            <w:r>
              <w:rPr>
                <w:rFonts w:hint="eastAsia" w:ascii="宋体" w:hAnsi="宋体"/>
                <w:bCs/>
                <w:sz w:val="24"/>
              </w:rPr>
              <w:t>源：</w:t>
            </w:r>
            <w:r>
              <w:rPr>
                <w:rFonts w:hint="eastAsia" w:ascii="宋体" w:hAnsi="宋体"/>
                <w:sz w:val="24"/>
                <w:szCs w:val="21"/>
              </w:rPr>
              <w:t>财政性资金。</w:t>
            </w:r>
          </w:p>
          <w:p>
            <w:pPr>
              <w:rPr>
                <w:rFonts w:ascii="宋体" w:hAnsi="宋体"/>
                <w:sz w:val="24"/>
              </w:rPr>
            </w:pPr>
            <w:r>
              <w:rPr>
                <w:rFonts w:hint="eastAsia" w:ascii="宋体" w:hAnsi="宋体" w:cs="宋体"/>
                <w:kern w:val="0"/>
                <w:sz w:val="24"/>
              </w:rPr>
              <w:t>采购预算：</w:t>
            </w:r>
            <w:r>
              <w:rPr>
                <w:rFonts w:hint="eastAsia" w:ascii="宋体" w:hAnsi="宋体"/>
                <w:sz w:val="24"/>
              </w:rPr>
              <w:t>75.24万元</w:t>
            </w:r>
          </w:p>
          <w:p>
            <w:pPr>
              <w:rPr>
                <w:rFonts w:ascii="宋体" w:hAnsi="宋体" w:cs="宋体"/>
                <w:kern w:val="0"/>
                <w:sz w:val="24"/>
              </w:rPr>
            </w:pPr>
            <w:r>
              <w:rPr>
                <w:rFonts w:hint="eastAsia" w:ascii="宋体" w:hAnsi="宋体"/>
                <w:sz w:val="24"/>
              </w:rPr>
              <w:t>最高限价：75.24万元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28" w:type="dxa"/>
            <w:vMerge w:val="restart"/>
            <w:tcBorders>
              <w:top w:val="sing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864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sz w:val="24"/>
              </w:rPr>
            </w:pPr>
            <w:r>
              <w:rPr>
                <w:rFonts w:hint="eastAsia" w:ascii="宋体" w:hAnsi="宋体" w:cs="宋体"/>
                <w:b/>
                <w:sz w:val="24"/>
              </w:rPr>
              <w:t>磋商保证金：无。</w:t>
            </w:r>
          </w:p>
          <w:p>
            <w:pPr>
              <w:adjustRightInd w:val="0"/>
              <w:snapToGrid w:val="0"/>
              <w:rPr>
                <w:rFonts w:ascii="宋体" w:hAnsi="宋体"/>
                <w:sz w:val="24"/>
              </w:rPr>
            </w:pPr>
            <w:r>
              <w:rPr>
                <w:rFonts w:hint="eastAsia" w:ascii="宋体" w:hAnsi="宋体" w:cs="宋体"/>
                <w:sz w:val="24"/>
              </w:rPr>
              <w:t>根据《关于规范政府采购保证金管理建立预付款制度有关事项的通知》（大财采【2021】546号）的有关规定，本项目免收投标保证金。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28" w:type="dxa"/>
            <w:vMerge w:val="continue"/>
            <w:tcBorders>
              <w:left w:val="single" w:color="auto" w:sz="4" w:space="0"/>
              <w:bottom w:val="single" w:color="auto" w:sz="4" w:space="0"/>
              <w:right w:val="single" w:color="auto" w:sz="4" w:space="0"/>
            </w:tcBorders>
            <w:vAlign w:val="center"/>
          </w:tcPr>
          <w:p>
            <w:pPr>
              <w:jc w:val="center"/>
              <w:rPr>
                <w:rFonts w:ascii="宋体" w:hAnsi="宋体"/>
                <w:sz w:val="24"/>
              </w:rPr>
            </w:pPr>
          </w:p>
        </w:tc>
        <w:tc>
          <w:tcPr>
            <w:tcW w:w="8640" w:type="dxa"/>
            <w:tcBorders>
              <w:top w:val="single" w:color="auto" w:sz="4" w:space="0"/>
              <w:left w:val="single" w:color="auto" w:sz="4" w:space="0"/>
              <w:bottom w:val="single" w:color="auto" w:sz="4" w:space="0"/>
              <w:right w:val="single" w:color="auto" w:sz="4" w:space="0"/>
            </w:tcBorders>
            <w:vAlign w:val="center"/>
          </w:tcPr>
          <w:p>
            <w:pPr>
              <w:tabs>
                <w:tab w:val="left" w:pos="4045"/>
              </w:tabs>
              <w:adjustRightInd w:val="0"/>
              <w:snapToGrid w:val="0"/>
              <w:rPr>
                <w:rFonts w:ascii="宋体" w:hAnsi="宋体"/>
                <w:sz w:val="24"/>
              </w:rPr>
            </w:pPr>
            <w:r>
              <w:rPr>
                <w:rFonts w:hint="eastAsia" w:ascii="宋体" w:hAnsi="宋体"/>
                <w:sz w:val="24"/>
              </w:rPr>
              <w:t>中标人在领取中标通知书时，须向</w:t>
            </w:r>
            <w:r>
              <w:rPr>
                <w:rFonts w:ascii="宋体" w:hAnsi="宋体"/>
                <w:sz w:val="24"/>
              </w:rPr>
              <w:t>采购代理机构</w:t>
            </w:r>
            <w:r>
              <w:rPr>
                <w:rFonts w:hint="eastAsia" w:ascii="宋体" w:hAnsi="宋体"/>
                <w:sz w:val="24"/>
              </w:rPr>
              <w:t>支付代理服务费。</w:t>
            </w:r>
          </w:p>
          <w:p>
            <w:pPr>
              <w:tabs>
                <w:tab w:val="left" w:pos="4045"/>
              </w:tabs>
              <w:adjustRightInd w:val="0"/>
              <w:snapToGrid w:val="0"/>
              <w:rPr>
                <w:rFonts w:ascii="宋体" w:hAnsi="宋体"/>
                <w:sz w:val="24"/>
              </w:rPr>
            </w:pPr>
            <w:r>
              <w:rPr>
                <w:rFonts w:hint="eastAsia" w:ascii="宋体" w:hAnsi="宋体"/>
                <w:sz w:val="24"/>
              </w:rPr>
              <w:t>代理服务费支付方式：</w:t>
            </w:r>
          </w:p>
          <w:p>
            <w:pPr>
              <w:tabs>
                <w:tab w:val="left" w:pos="4045"/>
              </w:tabs>
              <w:adjustRightInd w:val="0"/>
              <w:snapToGrid w:val="0"/>
              <w:rPr>
                <w:rFonts w:ascii="宋体" w:hAnsi="宋体"/>
                <w:bCs/>
                <w:sz w:val="24"/>
              </w:rPr>
            </w:pPr>
            <w:r>
              <w:rPr>
                <w:rFonts w:hint="eastAsia" w:ascii="宋体" w:hAnsi="宋体"/>
                <w:bCs/>
                <w:sz w:val="24"/>
              </w:rPr>
              <w:t>①现金；</w:t>
            </w:r>
          </w:p>
          <w:p>
            <w:pPr>
              <w:tabs>
                <w:tab w:val="left" w:pos="4045"/>
              </w:tabs>
              <w:adjustRightInd w:val="0"/>
              <w:snapToGrid w:val="0"/>
              <w:rPr>
                <w:rFonts w:ascii="宋体" w:hAnsi="宋体"/>
                <w:bCs/>
                <w:sz w:val="24"/>
              </w:rPr>
            </w:pPr>
            <w:r>
              <w:rPr>
                <w:rFonts w:hint="eastAsia" w:ascii="宋体" w:hAnsi="宋体"/>
                <w:bCs/>
                <w:sz w:val="24"/>
              </w:rPr>
              <w:t>②电汇：</w:t>
            </w:r>
          </w:p>
          <w:p>
            <w:pPr>
              <w:tabs>
                <w:tab w:val="left" w:pos="4045"/>
              </w:tabs>
              <w:adjustRightInd w:val="0"/>
              <w:snapToGrid w:val="0"/>
              <w:rPr>
                <w:rFonts w:ascii="宋体" w:hAnsi="宋体"/>
                <w:sz w:val="24"/>
              </w:rPr>
            </w:pPr>
            <w:r>
              <w:rPr>
                <w:rFonts w:hint="eastAsia" w:ascii="宋体" w:hAnsi="宋体"/>
                <w:sz w:val="24"/>
              </w:rPr>
              <w:t>请汇至“户名：大连合力项目管理有限公司；</w:t>
            </w:r>
          </w:p>
          <w:p>
            <w:pPr>
              <w:tabs>
                <w:tab w:val="left" w:pos="4045"/>
              </w:tabs>
              <w:adjustRightInd w:val="0"/>
              <w:snapToGrid w:val="0"/>
              <w:rPr>
                <w:rFonts w:ascii="宋体" w:hAnsi="宋体"/>
                <w:sz w:val="24"/>
              </w:rPr>
            </w:pPr>
            <w:r>
              <w:rPr>
                <w:rFonts w:hint="eastAsia" w:ascii="宋体" w:hAnsi="宋体"/>
                <w:sz w:val="24"/>
              </w:rPr>
              <w:t>开户行：盛京银行大连星海支行；</w:t>
            </w:r>
          </w:p>
          <w:p>
            <w:r>
              <w:rPr>
                <w:rFonts w:hint="eastAsia" w:ascii="宋体" w:hAnsi="宋体"/>
                <w:sz w:val="24"/>
              </w:rPr>
              <w:t>账号：</w:t>
            </w:r>
            <w:r>
              <w:rPr>
                <w:rFonts w:ascii="宋体" w:hAnsi="宋体"/>
                <w:sz w:val="24"/>
              </w:rPr>
              <w:t>0660500102000009993</w:t>
            </w:r>
            <w:r>
              <w:rPr>
                <w:rFonts w:hint="eastAsia" w:ascii="宋体" w:hAnsi="宋体"/>
                <w:sz w:val="24"/>
              </w:rPr>
              <w:t>”。</w:t>
            </w:r>
          </w:p>
          <w:p>
            <w:pPr>
              <w:rPr>
                <w:rFonts w:ascii="宋体" w:hAnsi="宋体"/>
                <w:b/>
                <w:sz w:val="24"/>
              </w:rPr>
            </w:pPr>
            <w:r>
              <w:rPr>
                <w:rFonts w:hint="eastAsia" w:ascii="宋体" w:hAnsi="宋体"/>
                <w:sz w:val="24"/>
              </w:rPr>
              <w:t>招标代理服务费收费标准：中标金额的1.5%。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8640" w:type="dxa"/>
            <w:tcBorders>
              <w:top w:val="single" w:color="auto" w:sz="4" w:space="0"/>
              <w:left w:val="single" w:color="auto" w:sz="4" w:space="0"/>
              <w:bottom w:val="single" w:color="auto" w:sz="4" w:space="0"/>
              <w:right w:val="single" w:color="auto" w:sz="4" w:space="0"/>
            </w:tcBorders>
            <w:vAlign w:val="center"/>
          </w:tcPr>
          <w:p>
            <w:pPr>
              <w:ind w:left="2400" w:hanging="2400" w:hangingChars="1000"/>
              <w:rPr>
                <w:rFonts w:ascii="宋体" w:hAnsi="宋体"/>
                <w:bCs/>
                <w:sz w:val="24"/>
              </w:rPr>
            </w:pPr>
            <w:r>
              <w:rPr>
                <w:rFonts w:hint="eastAsia" w:ascii="宋体" w:hAnsi="宋体" w:cs="宋体"/>
                <w:sz w:val="24"/>
              </w:rPr>
              <w:t>磋商有效期: 磋商有效期为自递交投标响应文件之日起90个日历日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28" w:type="dxa"/>
            <w:tcBorders>
              <w:top w:val="single" w:color="auto" w:sz="4" w:space="0"/>
              <w:left w:val="single" w:color="auto" w:sz="4" w:space="0"/>
              <w:bottom w:val="single" w:color="auto" w:sz="4" w:space="0"/>
              <w:right w:val="single" w:color="auto" w:sz="4" w:space="0"/>
            </w:tcBorders>
            <w:vAlign w:val="center"/>
          </w:tcPr>
          <w:p>
            <w:pPr>
              <w:pStyle w:val="42"/>
              <w:widowControl w:val="0"/>
              <w:pBdr>
                <w:left w:val="none" w:color="auto" w:sz="0" w:space="0"/>
                <w:bottom w:val="none" w:color="auto" w:sz="0" w:space="0"/>
                <w:right w:val="none" w:color="auto" w:sz="0" w:space="0"/>
              </w:pBdr>
              <w:spacing w:before="0" w:beforeAutospacing="0" w:after="0" w:afterAutospacing="0"/>
              <w:rPr>
                <w:rFonts w:ascii="宋体" w:eastAsia="宋体"/>
                <w:kern w:val="2"/>
              </w:rPr>
            </w:pPr>
            <w:r>
              <w:rPr>
                <w:rFonts w:hint="eastAsia" w:ascii="宋体" w:eastAsia="宋体"/>
                <w:kern w:val="2"/>
              </w:rPr>
              <w:t>6</w:t>
            </w:r>
          </w:p>
        </w:tc>
        <w:tc>
          <w:tcPr>
            <w:tcW w:w="86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sz w:val="24"/>
              </w:rPr>
            </w:pPr>
            <w:r>
              <w:rPr>
                <w:rFonts w:hint="eastAsia" w:ascii="宋体" w:hAnsi="宋体" w:cs="宋体"/>
                <w:sz w:val="24"/>
              </w:rPr>
              <w:t>投标响应文件编制及解密的相关要求：</w:t>
            </w:r>
          </w:p>
          <w:p>
            <w:pPr>
              <w:adjustRightInd w:val="0"/>
              <w:snapToGrid w:val="0"/>
              <w:jc w:val="left"/>
              <w:rPr>
                <w:rFonts w:ascii="宋体" w:hAnsi="宋体" w:cs="宋体"/>
                <w:sz w:val="24"/>
              </w:rPr>
            </w:pPr>
            <w:r>
              <w:rPr>
                <w:rFonts w:hint="eastAsia" w:ascii="宋体" w:hAnsi="宋体" w:cs="宋体"/>
                <w:sz w:val="24"/>
              </w:rPr>
              <w:t>1、本项目采用网上磋商，在线解密，供应商无需到达现场。</w:t>
            </w:r>
          </w:p>
          <w:p>
            <w:pPr>
              <w:adjustRightInd w:val="0"/>
              <w:snapToGrid w:val="0"/>
              <w:jc w:val="left"/>
              <w:rPr>
                <w:rFonts w:ascii="宋体" w:hAnsi="宋体" w:cs="宋体"/>
                <w:sz w:val="24"/>
              </w:rPr>
            </w:pPr>
            <w:r>
              <w:rPr>
                <w:rFonts w:hint="eastAsia" w:ascii="宋体" w:hAnsi="宋体" w:cs="宋体"/>
                <w:sz w:val="24"/>
              </w:rPr>
              <w:t>2、报价文件递交形式及要求：在线递交报价文件。</w:t>
            </w:r>
          </w:p>
          <w:p>
            <w:pPr>
              <w:adjustRightInd w:val="0"/>
              <w:snapToGrid w:val="0"/>
              <w:jc w:val="left"/>
              <w:rPr>
                <w:rFonts w:ascii="宋体" w:hAnsi="宋体" w:cs="宋体"/>
                <w:sz w:val="24"/>
              </w:rPr>
            </w:pPr>
            <w:r>
              <w:rPr>
                <w:rFonts w:hint="eastAsia" w:ascii="宋体" w:hAnsi="宋体" w:cs="宋体"/>
                <w:sz w:val="24"/>
              </w:rPr>
              <w:t>3、电子响应文件制作及递交要求：投标人需下载并安装大连市电子投标客户端，制作完成投标文件并使用数字证书（CA）进行签章后，生成该项目. jmbs 加密格式，在规定的提交投标文件截止时间前登陆大连市政府采购云平台，凭数字证书(CA)在线上传完成符合规定格式要求的投标文件。在线递交的电子标投标文件格式必须为指定格式为. jmbs (加密)，否则为无效投标文件。。</w:t>
            </w:r>
          </w:p>
          <w:p>
            <w:pPr>
              <w:adjustRightInd w:val="0"/>
              <w:snapToGrid w:val="0"/>
              <w:jc w:val="left"/>
              <w:rPr>
                <w:rFonts w:ascii="宋体" w:hAnsi="宋体" w:cs="宋体"/>
                <w:sz w:val="24"/>
              </w:rPr>
            </w:pPr>
            <w:r>
              <w:rPr>
                <w:rFonts w:hint="eastAsia" w:ascii="宋体" w:hAnsi="宋体" w:cs="宋体"/>
                <w:sz w:val="24"/>
              </w:rPr>
              <w:t>4、供应商在开标前，提前登录政采云平台做好准备，等待采购组织机构开启解密标书。</w:t>
            </w:r>
          </w:p>
          <w:p>
            <w:pPr>
              <w:adjustRightInd w:val="0"/>
              <w:snapToGrid w:val="0"/>
              <w:jc w:val="left"/>
              <w:rPr>
                <w:rFonts w:ascii="宋体" w:hAnsi="宋体" w:cs="宋体"/>
                <w:sz w:val="24"/>
              </w:rPr>
            </w:pPr>
            <w:r>
              <w:rPr>
                <w:rFonts w:hint="eastAsia" w:ascii="宋体" w:hAnsi="宋体" w:cs="宋体"/>
                <w:sz w:val="24"/>
              </w:rPr>
              <w:t>5、待采购组织机构开启解密后，供应商开始解密投标响应文件。</w:t>
            </w:r>
          </w:p>
          <w:p>
            <w:pPr>
              <w:adjustRightInd w:val="0"/>
              <w:snapToGrid w:val="0"/>
              <w:jc w:val="left"/>
              <w:rPr>
                <w:rFonts w:ascii="宋体" w:hAnsi="宋体" w:cs="宋体"/>
                <w:sz w:val="24"/>
              </w:rPr>
            </w:pPr>
            <w:r>
              <w:rPr>
                <w:rFonts w:hint="eastAsia" w:ascii="宋体" w:hAnsi="宋体" w:cs="宋体"/>
                <w:sz w:val="24"/>
              </w:rPr>
              <w:t>6、本项目开标为线上不见面开标，具体业务流程及操作手册请于“http://ccgp-dalian.gov.cn/luban/category?parentId=55844&amp;childrenCode=dlzfcgCategory111”处自行下载学习，并提前按照要求调整好浏览器等相关设置，避免无法在指定时间进入本项目开标大厅参加项目开标、响应文件解密、报价确认操作，若因供应商自身原因无法在规定时间内进行解密或解密不成功，视为响应文件无效，供应商自行承担相关后果。</w:t>
            </w:r>
          </w:p>
          <w:p>
            <w:pPr>
              <w:adjustRightInd w:val="0"/>
              <w:snapToGrid w:val="0"/>
              <w:jc w:val="left"/>
              <w:rPr>
                <w:rFonts w:ascii="宋体" w:hAnsi="宋体" w:cs="宋体"/>
                <w:sz w:val="24"/>
              </w:rPr>
            </w:pPr>
            <w:r>
              <w:rPr>
                <w:rFonts w:hint="eastAsia" w:ascii="宋体" w:hAnsi="宋体" w:cs="宋体"/>
                <w:sz w:val="24"/>
              </w:rPr>
              <w:t>7、本项目为远程开标，各供应商须在响应文件中，写明本项目的联系人及联系电话（建议包含手机及座机号码），并注意接听来电，以便重要事宜的通知。若因联系电话错误、关机、无法接通等原因无法联系到供应商，供应商自行承担相应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28" w:type="dxa"/>
            <w:tcBorders>
              <w:top w:val="single" w:color="auto" w:sz="4" w:space="0"/>
              <w:left w:val="single" w:color="auto" w:sz="4" w:space="0"/>
              <w:bottom w:val="single" w:color="auto" w:sz="4" w:space="0"/>
              <w:right w:val="single" w:color="auto" w:sz="4" w:space="0"/>
            </w:tcBorders>
            <w:vAlign w:val="center"/>
          </w:tcPr>
          <w:p>
            <w:pPr>
              <w:pStyle w:val="42"/>
              <w:widowControl w:val="0"/>
              <w:pBdr>
                <w:left w:val="none" w:color="auto" w:sz="0" w:space="0"/>
                <w:bottom w:val="none" w:color="auto" w:sz="0" w:space="0"/>
                <w:right w:val="none" w:color="auto" w:sz="0" w:space="0"/>
              </w:pBdr>
              <w:spacing w:before="0" w:beforeAutospacing="0" w:after="0" w:afterAutospacing="0"/>
              <w:rPr>
                <w:rFonts w:ascii="宋体" w:eastAsia="宋体"/>
                <w:kern w:val="2"/>
              </w:rPr>
            </w:pPr>
            <w:r>
              <w:rPr>
                <w:rFonts w:hint="eastAsia" w:ascii="宋体" w:eastAsia="宋体"/>
                <w:kern w:val="2"/>
              </w:rPr>
              <w:t>7</w:t>
            </w:r>
          </w:p>
        </w:tc>
        <w:tc>
          <w:tcPr>
            <w:tcW w:w="864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获取采购文件</w:t>
            </w:r>
          </w:p>
          <w:p>
            <w:pPr>
              <w:jc w:val="left"/>
              <w:rPr>
                <w:rFonts w:ascii="宋体" w:hAnsi="宋体"/>
                <w:sz w:val="24"/>
              </w:rPr>
            </w:pPr>
            <w:r>
              <w:rPr>
                <w:rFonts w:hint="eastAsia" w:ascii="宋体" w:hAnsi="宋体"/>
                <w:sz w:val="24"/>
              </w:rPr>
              <w:t>时间：</w:t>
            </w:r>
            <w:r>
              <w:rPr>
                <w:rFonts w:hint="eastAsia" w:ascii="宋体" w:hAnsi="宋体"/>
                <w:sz w:val="24"/>
                <w:lang w:eastAsia="zh-CN"/>
              </w:rPr>
              <w:t>2024年*月*日</w:t>
            </w:r>
            <w:r>
              <w:rPr>
                <w:rFonts w:hint="eastAsia" w:ascii="宋体" w:hAnsi="宋体"/>
                <w:sz w:val="24"/>
              </w:rPr>
              <w:t>至</w:t>
            </w:r>
            <w:r>
              <w:rPr>
                <w:rFonts w:hint="eastAsia" w:ascii="宋体" w:hAnsi="宋体"/>
                <w:sz w:val="24"/>
                <w:lang w:eastAsia="zh-CN"/>
              </w:rPr>
              <w:t>2024年*月*日</w:t>
            </w:r>
            <w:r>
              <w:rPr>
                <w:rFonts w:hint="eastAsia" w:ascii="宋体" w:hAnsi="宋体"/>
                <w:sz w:val="24"/>
              </w:rPr>
              <w:t>（北京时间）</w:t>
            </w:r>
          </w:p>
          <w:p>
            <w:pPr>
              <w:jc w:val="left"/>
              <w:rPr>
                <w:rFonts w:ascii="宋体" w:hAnsi="宋体"/>
                <w:sz w:val="24"/>
              </w:rPr>
            </w:pPr>
            <w:r>
              <w:rPr>
                <w:rFonts w:hint="eastAsia" w:ascii="宋体" w:hAnsi="宋体"/>
                <w:sz w:val="24"/>
              </w:rPr>
              <w:t>地点：</w:t>
            </w:r>
            <w:r>
              <w:rPr>
                <w:rFonts w:ascii="宋体" w:hAnsi="宋体"/>
                <w:sz w:val="24"/>
              </w:rPr>
              <w:t>大连市政府采购云平台线上获取。</w:t>
            </w:r>
            <w:r>
              <w:rPr>
                <w:rFonts w:hint="eastAsia" w:ascii="宋体" w:hAnsi="宋体"/>
                <w:sz w:val="24"/>
              </w:rPr>
              <w:t>(</w:t>
            </w:r>
            <w:r>
              <w:rPr>
                <w:rFonts w:ascii="宋体" w:hAnsi="宋体"/>
                <w:sz w:val="24"/>
              </w:rPr>
              <w:t>http://ccgp-dalian.gov.cn/</w:t>
            </w:r>
            <w:r>
              <w:rPr>
                <w:rFonts w:hint="eastAsia" w:ascii="宋体" w:hAnsi="宋体"/>
                <w:sz w:val="24"/>
              </w:rPr>
              <w:t>)</w:t>
            </w:r>
          </w:p>
          <w:p>
            <w:pPr>
              <w:jc w:val="left"/>
              <w:rPr>
                <w:rFonts w:ascii="宋体" w:hAnsi="宋体"/>
                <w:sz w:val="24"/>
              </w:rPr>
            </w:pPr>
            <w:r>
              <w:rPr>
                <w:rFonts w:ascii="宋体" w:hAnsi="宋体"/>
                <w:sz w:val="24"/>
              </w:rPr>
              <w:t>方式：供应商登录大连市政府采购云平台在线申请获取采购文件（进入“项目采购”应用，在获取采购文件菜单中选择项目，申请获取采购文件）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8</w:t>
            </w:r>
          </w:p>
        </w:tc>
        <w:tc>
          <w:tcPr>
            <w:tcW w:w="8640" w:type="dxa"/>
            <w:tcBorders>
              <w:top w:val="single" w:color="auto" w:sz="4" w:space="0"/>
              <w:left w:val="single" w:color="auto" w:sz="4" w:space="0"/>
              <w:bottom w:val="single" w:color="auto" w:sz="4" w:space="0"/>
              <w:right w:val="single" w:color="auto" w:sz="4" w:space="0"/>
            </w:tcBorders>
            <w:vAlign w:val="center"/>
          </w:tcPr>
          <w:p>
            <w:pPr>
              <w:rPr>
                <w:rFonts w:ascii="宋体" w:hAnsi="宋体"/>
                <w:bCs/>
                <w:sz w:val="24"/>
              </w:rPr>
            </w:pPr>
            <w:r>
              <w:rPr>
                <w:rFonts w:ascii="宋体" w:hAnsi="宋体"/>
                <w:bCs/>
                <w:sz w:val="24"/>
              </w:rPr>
              <w:t>磋商响应文件</w:t>
            </w:r>
            <w:r>
              <w:rPr>
                <w:rFonts w:hint="eastAsia" w:ascii="宋体" w:hAnsi="宋体"/>
                <w:bCs/>
                <w:sz w:val="24"/>
              </w:rPr>
              <w:t>递交截至时间</w:t>
            </w:r>
            <w:r>
              <w:rPr>
                <w:rFonts w:ascii="宋体" w:hAnsi="宋体"/>
                <w:bCs/>
                <w:sz w:val="24"/>
              </w:rPr>
              <w:t xml:space="preserve">： </w:t>
            </w:r>
          </w:p>
          <w:p>
            <w:pPr>
              <w:rPr>
                <w:rFonts w:ascii="宋体" w:hAnsi="宋体"/>
                <w:bCs/>
                <w:sz w:val="24"/>
              </w:rPr>
            </w:pPr>
            <w:r>
              <w:rPr>
                <w:rFonts w:ascii="宋体" w:hAnsi="宋体"/>
                <w:bCs/>
                <w:sz w:val="24"/>
              </w:rPr>
              <w:t>截止时间：</w:t>
            </w:r>
            <w:r>
              <w:rPr>
                <w:rFonts w:hint="eastAsia" w:ascii="宋体" w:hAnsi="宋体"/>
                <w:bCs/>
                <w:sz w:val="24"/>
                <w:lang w:eastAsia="zh-CN"/>
              </w:rPr>
              <w:t>2024年*月*日</w:t>
            </w:r>
            <w:r>
              <w:rPr>
                <w:rFonts w:ascii="宋体" w:hAnsi="宋体"/>
                <w:bCs/>
                <w:sz w:val="24"/>
              </w:rPr>
              <w:t xml:space="preserve"> 09:</w:t>
            </w:r>
            <w:r>
              <w:rPr>
                <w:rFonts w:hint="eastAsia" w:ascii="宋体" w:hAnsi="宋体"/>
                <w:bCs/>
                <w:sz w:val="24"/>
              </w:rPr>
              <w:t>3</w:t>
            </w:r>
            <w:r>
              <w:rPr>
                <w:rFonts w:ascii="宋体" w:hAnsi="宋体"/>
                <w:bCs/>
                <w:sz w:val="24"/>
              </w:rPr>
              <w:t>0(北京时间)</w:t>
            </w:r>
          </w:p>
          <w:p>
            <w:pPr>
              <w:rPr>
                <w:rFonts w:ascii="宋体" w:hAnsi="宋体"/>
                <w:bCs/>
                <w:sz w:val="24"/>
              </w:rPr>
            </w:pPr>
            <w:r>
              <w:rPr>
                <w:rFonts w:ascii="宋体" w:hAnsi="宋体"/>
                <w:bCs/>
                <w:sz w:val="24"/>
              </w:rPr>
              <w:t>地点：请登录</w:t>
            </w:r>
            <w:r>
              <w:rPr>
                <w:rFonts w:ascii="宋体" w:hAnsi="宋体"/>
                <w:sz w:val="24"/>
              </w:rPr>
              <w:t>大连市政府采购云平台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9</w:t>
            </w:r>
          </w:p>
        </w:tc>
        <w:tc>
          <w:tcPr>
            <w:tcW w:w="8640" w:type="dxa"/>
            <w:tcBorders>
              <w:top w:val="single" w:color="auto" w:sz="4" w:space="0"/>
              <w:left w:val="single" w:color="auto" w:sz="4" w:space="0"/>
              <w:bottom w:val="single" w:color="auto" w:sz="4" w:space="0"/>
              <w:right w:val="single" w:color="auto" w:sz="4" w:space="0"/>
            </w:tcBorders>
          </w:tcPr>
          <w:p>
            <w:pPr>
              <w:jc w:val="left"/>
              <w:rPr>
                <w:rFonts w:ascii="宋体" w:hAnsi="宋体"/>
                <w:bCs/>
                <w:sz w:val="24"/>
              </w:rPr>
            </w:pPr>
            <w:r>
              <w:rPr>
                <w:rFonts w:hint="eastAsia" w:ascii="宋体" w:hAnsi="宋体"/>
                <w:bCs/>
                <w:sz w:val="24"/>
              </w:rPr>
              <w:t>响应文件开启时间：</w:t>
            </w:r>
            <w:r>
              <w:rPr>
                <w:rFonts w:ascii="宋体" w:hAnsi="宋体"/>
                <w:bCs/>
                <w:sz w:val="24"/>
              </w:rPr>
              <w:t xml:space="preserve"> </w:t>
            </w:r>
          </w:p>
          <w:p>
            <w:pPr>
              <w:jc w:val="left"/>
              <w:rPr>
                <w:rFonts w:ascii="宋体" w:hAnsi="宋体"/>
                <w:bCs/>
                <w:sz w:val="24"/>
              </w:rPr>
            </w:pPr>
            <w:r>
              <w:rPr>
                <w:rFonts w:ascii="宋体" w:hAnsi="宋体"/>
                <w:bCs/>
                <w:sz w:val="24"/>
              </w:rPr>
              <w:t>时间：</w:t>
            </w:r>
            <w:r>
              <w:rPr>
                <w:rFonts w:hint="eastAsia" w:ascii="宋体" w:hAnsi="宋体"/>
                <w:bCs/>
                <w:sz w:val="24"/>
                <w:lang w:eastAsia="zh-CN"/>
              </w:rPr>
              <w:t>2024年*月*日</w:t>
            </w:r>
            <w:r>
              <w:rPr>
                <w:rFonts w:ascii="宋体" w:hAnsi="宋体"/>
                <w:bCs/>
                <w:sz w:val="24"/>
              </w:rPr>
              <w:t xml:space="preserve"> 09:</w:t>
            </w:r>
            <w:r>
              <w:rPr>
                <w:rFonts w:hint="eastAsia" w:ascii="宋体" w:hAnsi="宋体"/>
                <w:bCs/>
                <w:sz w:val="24"/>
              </w:rPr>
              <w:t>3</w:t>
            </w:r>
            <w:r>
              <w:rPr>
                <w:rFonts w:ascii="宋体" w:hAnsi="宋体"/>
                <w:bCs/>
                <w:sz w:val="24"/>
              </w:rPr>
              <w:t>0(北京时间)</w:t>
            </w:r>
          </w:p>
          <w:p>
            <w:pPr>
              <w:jc w:val="left"/>
              <w:rPr>
                <w:rFonts w:ascii="宋体" w:hAnsi="宋体"/>
                <w:bCs/>
                <w:sz w:val="24"/>
              </w:rPr>
            </w:pPr>
            <w:r>
              <w:rPr>
                <w:rFonts w:ascii="宋体" w:hAnsi="宋体"/>
                <w:bCs/>
                <w:sz w:val="24"/>
              </w:rPr>
              <w:t>地点：</w:t>
            </w:r>
            <w:r>
              <w:rPr>
                <w:rFonts w:ascii="宋体" w:hAnsi="宋体"/>
                <w:sz w:val="24"/>
              </w:rPr>
              <w:t>大连市政府采购云平台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w:t>
            </w:r>
          </w:p>
        </w:tc>
        <w:tc>
          <w:tcPr>
            <w:tcW w:w="864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bCs/>
                <w:sz w:val="24"/>
              </w:rPr>
            </w:pPr>
            <w:r>
              <w:rPr>
                <w:rFonts w:hint="eastAsia" w:ascii="宋体" w:hAnsi="宋体"/>
                <w:bCs/>
                <w:sz w:val="24"/>
              </w:rPr>
              <w:t>评审办法：磋商响应文件满足磋商文件全部实质性要求，且按照评审因素的量化指标评审得分最高的供应商为中标候选人的评标方法</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w:t>
            </w:r>
          </w:p>
        </w:tc>
        <w:tc>
          <w:tcPr>
            <w:tcW w:w="8640" w:type="dxa"/>
            <w:tcBorders>
              <w:top w:val="single" w:color="auto" w:sz="4" w:space="0"/>
              <w:left w:val="single" w:color="auto" w:sz="4" w:space="0"/>
              <w:bottom w:val="single" w:color="auto" w:sz="4" w:space="0"/>
              <w:right w:val="single" w:color="auto" w:sz="4" w:space="0"/>
            </w:tcBorders>
          </w:tcPr>
          <w:p>
            <w:pPr>
              <w:rPr>
                <w:rFonts w:ascii="宋体" w:hAnsi="宋体" w:cs="宋体"/>
                <w:kern w:val="0"/>
                <w:sz w:val="24"/>
              </w:rPr>
            </w:pPr>
            <w:r>
              <w:rPr>
                <w:rFonts w:hint="eastAsia" w:ascii="宋体" w:hAnsi="宋体" w:cs="宋体"/>
                <w:kern w:val="0"/>
                <w:sz w:val="24"/>
              </w:rPr>
              <w:t>供应商的资格条件：</w:t>
            </w:r>
          </w:p>
          <w:p>
            <w:pPr>
              <w:rPr>
                <w:rFonts w:ascii="宋体" w:hAnsi="宋体"/>
                <w:bCs/>
                <w:sz w:val="24"/>
              </w:rPr>
            </w:pPr>
            <w:r>
              <w:rPr>
                <w:rFonts w:hint="eastAsia" w:ascii="宋体" w:hAnsi="宋体"/>
                <w:bCs/>
                <w:sz w:val="24"/>
              </w:rPr>
              <w:t xml:space="preserve">1.满足《中华人民共和国政府采购法》第二十二条规定； </w:t>
            </w:r>
          </w:p>
          <w:p>
            <w:pPr>
              <w:rPr>
                <w:rFonts w:ascii="宋体" w:hAnsi="宋体"/>
                <w:bCs/>
                <w:sz w:val="24"/>
              </w:rPr>
            </w:pPr>
            <w:r>
              <w:rPr>
                <w:rFonts w:hint="eastAsia" w:ascii="宋体" w:hAnsi="宋体"/>
                <w:bCs/>
                <w:sz w:val="24"/>
              </w:rPr>
              <w:t xml:space="preserve">2.落实政府采购政策需满足的资格要求： </w:t>
            </w:r>
          </w:p>
          <w:p>
            <w:pPr>
              <w:rPr>
                <w:rFonts w:ascii="宋体" w:hAnsi="宋体"/>
                <w:bCs/>
                <w:sz w:val="24"/>
              </w:rPr>
            </w:pPr>
            <w:r>
              <w:rPr>
                <w:rFonts w:hint="eastAsia" w:ascii="宋体" w:hAnsi="宋体"/>
                <w:bCs/>
                <w:sz w:val="24"/>
              </w:rPr>
              <w:t>（1）本项目专门面向中小企业采购，按照财库【2020】46号，财政部、工业和信息化部关于印发《政府采购促进中小企业发展管理办法》的通知执行；（2）中小企业划型标准参照《工业和信息化部、统计局、发展改革委、财政部关于印发中小企业划型标准规定的通知》（工信部联企业〔2011〕300号）；（3）根据《关于促进残疾人就业政府采购政策的通知》财库〔2017〕141号、财政部《司法部关于政府采购支持监狱企业发展有关问题的通知》财库〔2014〕68号的规定，残疾人福利性单位、监狱企业视同小型和微型企业。</w:t>
            </w:r>
          </w:p>
          <w:p>
            <w:pPr>
              <w:rPr>
                <w:rFonts w:ascii="宋体" w:hAnsi="宋体"/>
                <w:bCs/>
                <w:sz w:val="24"/>
              </w:rPr>
            </w:pPr>
            <w:r>
              <w:rPr>
                <w:rFonts w:hint="eastAsia" w:ascii="宋体" w:hAnsi="宋体"/>
                <w:bCs/>
                <w:sz w:val="24"/>
              </w:rPr>
              <w:t>3.本项目的特定资格要求：无。</w:t>
            </w:r>
          </w:p>
          <w:p>
            <w:pPr>
              <w:rPr>
                <w:rFonts w:ascii="宋体" w:hAnsi="宋体" w:cs="宋体"/>
                <w:kern w:val="0"/>
                <w:sz w:val="24"/>
              </w:rPr>
            </w:pPr>
            <w:r>
              <w:rPr>
                <w:rFonts w:hint="eastAsia" w:ascii="宋体" w:hAnsi="宋体"/>
                <w:bCs/>
                <w:sz w:val="24"/>
              </w:rPr>
              <w:t>注：项目评审开始前在开标室进行查询，经“信用中国”网站（www.creditchina.gov.cn）、“信用辽宁”网站（www.xyln.net）、“信用大连”网站（credit.dl.cn）、“中国政府采购网”网站（www.ccgp.gov.cn）查询，被列入失信被执行人、重大税收违法案件当事人名单、政府采购严重违法失信行为记录名单的不得参加本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12</w:t>
            </w:r>
          </w:p>
        </w:tc>
        <w:tc>
          <w:tcPr>
            <w:tcW w:w="8640"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服务期限：自合同签订之日起一年（在采购人落实下一年度财政预算的前提下，且本项目采购需求相对固定、具有延续性，价格变化幅度小，双方协商同意，可依据本次采购结果所签订的合同续签一年,最多续签两次）</w:t>
            </w:r>
          </w:p>
          <w:p>
            <w:pPr>
              <w:jc w:val="left"/>
              <w:rPr>
                <w:rFonts w:ascii="宋体" w:hAnsi="宋体"/>
                <w:sz w:val="24"/>
              </w:rPr>
            </w:pPr>
            <w:r>
              <w:rPr>
                <w:rFonts w:hint="eastAsia" w:ascii="宋体" w:hAnsi="宋体"/>
                <w:sz w:val="24"/>
              </w:rPr>
              <w:t>★付款方式：</w:t>
            </w:r>
            <w:r>
              <w:rPr>
                <w:rFonts w:hint="eastAsia" w:ascii="宋体" w:hAnsi="宋体"/>
                <w:sz w:val="24"/>
                <w:lang w:eastAsia="zh-CN"/>
              </w:rPr>
              <w:t>服务费以中标金额及考核指标按月计算，中标人向招标人提供上月服务费用清单，</w:t>
            </w:r>
            <w:r>
              <w:rPr>
                <w:rFonts w:hint="eastAsia" w:ascii="宋体" w:hAnsi="宋体"/>
                <w:sz w:val="24"/>
              </w:rPr>
              <w:t>招标人核实确认后，根据每月最终实际发生额进行结算，具体付款时间以财政审定的拨款时间为准，招标人不承担因延迟付款所产生的利息等违约责任。</w:t>
            </w:r>
          </w:p>
          <w:p>
            <w:pPr>
              <w:snapToGrid w:val="0"/>
              <w:spacing w:line="300" w:lineRule="atLeast"/>
              <w:rPr>
                <w:rFonts w:ascii="宋体" w:hAnsi="宋体" w:cs="宋体"/>
                <w:kern w:val="0"/>
                <w:sz w:val="24"/>
              </w:rPr>
            </w:pPr>
            <w:r>
              <w:rPr>
                <w:rFonts w:hint="eastAsia" w:ascii="宋体" w:hAnsi="宋体"/>
                <w:sz w:val="24"/>
              </w:rPr>
              <w:t>甲方每次付款时，乙方须同时向甲方出具符合税务机关要求的等额合法有效的增值税普通发票，否则，甲方有权拒绝付款且不承担任何责任。造成甲方损失的，乙方应负责赔偿。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13</w:t>
            </w:r>
          </w:p>
        </w:tc>
        <w:tc>
          <w:tcPr>
            <w:tcW w:w="8640"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rPr>
            </w:pPr>
            <w:r>
              <w:rPr>
                <w:rFonts w:hint="eastAsia" w:ascii="宋体" w:hAnsi="宋体" w:cs="宋体"/>
                <w:b/>
                <w:kern w:val="0"/>
                <w:sz w:val="24"/>
              </w:rPr>
              <w:t>磋商报价：</w:t>
            </w:r>
            <w:r>
              <w:rPr>
                <w:rFonts w:ascii="宋体" w:hAnsi="宋体" w:cs="宋体"/>
                <w:b/>
                <w:kern w:val="0"/>
                <w:sz w:val="24"/>
              </w:rPr>
              <w:t xml:space="preserve"> </w:t>
            </w:r>
          </w:p>
          <w:p>
            <w:pPr>
              <w:rPr>
                <w:rFonts w:ascii="宋体" w:hAnsi="宋体" w:cs="宋体"/>
                <w:kern w:val="0"/>
                <w:sz w:val="24"/>
              </w:rPr>
            </w:pPr>
            <w:r>
              <w:rPr>
                <w:rFonts w:hint="eastAsia" w:ascii="宋体" w:hAnsi="宋体"/>
                <w:sz w:val="24"/>
              </w:rPr>
              <w:t>投标人报价是招标范围内全部工作内容的价格体现。投标报价应充分考虑招标范围内所有服务内容直至项目完成所需的全部费用、后续服务费用、不可预见风险等费用。投标人应充分估算设计任务所需的人力、物力、财力投入，充分考虑可能的市场风险以及企业所需缴纳的各种税费。以及为实现合同的目的所涉及的机构、人员、利润、税金、政策性文件规定、不可预见风险、责任、投标人为自己的雇员、财产等所做的人身和财产保险费用，以及第三方责任险和参与投标所发生费用等所有费用。同时包含招标文件未列出，但投标人认为完成本项目必须列支的有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40" w:type="dxa"/>
            <w:tcBorders>
              <w:top w:val="single" w:color="auto" w:sz="4" w:space="0"/>
              <w:left w:val="single" w:color="auto" w:sz="4" w:space="0"/>
              <w:bottom w:val="single" w:color="auto" w:sz="4" w:space="0"/>
              <w:right w:val="single" w:color="auto" w:sz="4" w:space="0"/>
            </w:tcBorders>
          </w:tcPr>
          <w:p>
            <w:pPr>
              <w:rPr>
                <w:rFonts w:ascii="宋体" w:hAnsi="宋体" w:cs="宋体"/>
                <w:b/>
                <w:bCs/>
                <w:kern w:val="0"/>
                <w:sz w:val="24"/>
              </w:rPr>
            </w:pPr>
            <w:r>
              <w:rPr>
                <w:rFonts w:hint="eastAsia" w:ascii="宋体" w:hAnsi="宋体" w:cs="宋体"/>
                <w:b/>
                <w:bCs/>
                <w:kern w:val="0"/>
                <w:sz w:val="24"/>
              </w:rPr>
              <w:t>最终报价说明：</w:t>
            </w:r>
          </w:p>
          <w:p>
            <w:pPr>
              <w:jc w:val="left"/>
              <w:rPr>
                <w:rFonts w:ascii="宋体" w:hAnsi="宋体" w:cs="宋体"/>
                <w:b/>
                <w:bCs/>
                <w:kern w:val="0"/>
                <w:sz w:val="24"/>
              </w:rPr>
            </w:pPr>
            <w:r>
              <w:rPr>
                <w:rFonts w:hint="eastAsia" w:ascii="宋体" w:hAnsi="宋体" w:cs="宋体"/>
                <w:b/>
                <w:bCs/>
                <w:kern w:val="0"/>
                <w:sz w:val="24"/>
              </w:rPr>
              <w:t>本项目最终报价将采用电子竞价的形式，操作流程详见</w:t>
            </w:r>
            <w:r>
              <w:rPr>
                <w:rFonts w:hint="eastAsia" w:ascii="宋体" w:hAnsi="宋体" w:cs="宋体"/>
                <w:b/>
                <w:kern w:val="0"/>
                <w:sz w:val="24"/>
              </w:rPr>
              <w:t>操作手册（网址：</w:t>
            </w:r>
            <w:r>
              <w:rPr>
                <w:rFonts w:ascii="宋体" w:hAnsi="宋体" w:cs="宋体"/>
                <w:b/>
                <w:kern w:val="0"/>
                <w:sz w:val="24"/>
              </w:rPr>
              <w:t>https://helpcenter.zcygov.cn/document/#/document/detail?siteCode=dalian&amp;manualId=1707&amp;topicId=6821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15</w:t>
            </w:r>
          </w:p>
        </w:tc>
        <w:tc>
          <w:tcPr>
            <w:tcW w:w="8640" w:type="dxa"/>
            <w:tcBorders>
              <w:top w:val="single" w:color="auto" w:sz="4" w:space="0"/>
              <w:left w:val="single" w:color="auto" w:sz="4" w:space="0"/>
              <w:bottom w:val="single" w:color="auto" w:sz="4" w:space="0"/>
              <w:right w:val="single" w:color="auto" w:sz="4" w:space="0"/>
            </w:tcBorders>
          </w:tcPr>
          <w:p>
            <w:pPr>
              <w:rPr>
                <w:rFonts w:ascii="宋体" w:hAnsi="宋体" w:cs="宋体"/>
                <w:kern w:val="0"/>
                <w:sz w:val="24"/>
              </w:rPr>
            </w:pPr>
            <w:r>
              <w:rPr>
                <w:rFonts w:hint="eastAsia" w:ascii="宋体" w:hAnsi="宋体" w:cs="宋体"/>
                <w:kern w:val="0"/>
                <w:sz w:val="24"/>
              </w:rPr>
              <w:t>其他要求：</w:t>
            </w:r>
          </w:p>
          <w:p>
            <w:pPr>
              <w:rPr>
                <w:rFonts w:ascii="宋体" w:hAnsi="宋体" w:cs="宋体"/>
                <w:kern w:val="0"/>
                <w:sz w:val="24"/>
              </w:rPr>
            </w:pPr>
            <w:r>
              <w:rPr>
                <w:rFonts w:hint="eastAsia" w:ascii="宋体" w:hAnsi="宋体" w:cs="宋体"/>
                <w:kern w:val="0"/>
                <w:sz w:val="24"/>
              </w:rPr>
              <w:t>1、“★”条款为必须满足条款，如不能满足，视为无效报价。</w:t>
            </w:r>
          </w:p>
          <w:p>
            <w:pPr>
              <w:rPr>
                <w:rFonts w:ascii="宋体" w:hAnsi="宋体" w:cs="宋体"/>
                <w:kern w:val="0"/>
                <w:sz w:val="24"/>
              </w:rPr>
            </w:pPr>
            <w:r>
              <w:rPr>
                <w:rFonts w:hint="eastAsia" w:ascii="宋体" w:hAnsi="宋体" w:cs="宋体"/>
                <w:kern w:val="0"/>
                <w:sz w:val="24"/>
              </w:rPr>
              <w:t>2、采购文件的技术和商务条款中未标记“★”号的为非实质性要求，未响应非实质性要求的响应文件仍为有效，但可能影响评分。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16</w:t>
            </w:r>
          </w:p>
        </w:tc>
        <w:tc>
          <w:tcPr>
            <w:tcW w:w="8640" w:type="dxa"/>
            <w:tcBorders>
              <w:top w:val="single" w:color="auto" w:sz="4" w:space="0"/>
              <w:left w:val="single" w:color="auto" w:sz="4" w:space="0"/>
              <w:bottom w:val="single" w:color="auto" w:sz="4" w:space="0"/>
              <w:right w:val="single" w:color="auto" w:sz="4" w:space="0"/>
            </w:tcBorders>
          </w:tcPr>
          <w:p>
            <w:pPr>
              <w:rPr>
                <w:rFonts w:ascii="宋体" w:hAnsi="宋体"/>
                <w:sz w:val="24"/>
              </w:rPr>
            </w:pPr>
            <w:r>
              <w:rPr>
                <w:rFonts w:hint="eastAsia" w:ascii="宋体" w:hAnsi="宋体"/>
                <w:sz w:val="24"/>
              </w:rPr>
              <w:t>1.本项目中小企业划分标准所属行业为租赁和商务服务业。</w:t>
            </w:r>
          </w:p>
          <w:p>
            <w:pPr>
              <w:rPr>
                <w:rFonts w:ascii="宋体" w:hAnsi="宋体"/>
                <w:sz w:val="24"/>
              </w:rPr>
            </w:pPr>
            <w:r>
              <w:rPr>
                <w:rFonts w:hint="eastAsia" w:ascii="宋体" w:hAnsi="宋体"/>
                <w:sz w:val="24"/>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rPr>
                <w:rFonts w:ascii="宋体" w:hAnsi="宋体" w:cs="宋体"/>
                <w:kern w:val="0"/>
                <w:sz w:val="24"/>
              </w:rPr>
            </w:pPr>
            <w:r>
              <w:rPr>
                <w:rFonts w:hint="eastAsia" w:ascii="宋体" w:hAnsi="宋体"/>
                <w:sz w:val="24"/>
              </w:rPr>
              <w:t>2.本项目为专门面向中小企业招标，因此在价格评审时不进行中小企业的价格扣除。</w:t>
            </w:r>
          </w:p>
        </w:tc>
      </w:tr>
    </w:tbl>
    <w:p>
      <w:pPr>
        <w:adjustRightInd w:val="0"/>
        <w:snapToGrid w:val="0"/>
        <w:spacing w:line="336" w:lineRule="auto"/>
        <w:jc w:val="center"/>
        <w:rPr>
          <w:rFonts w:ascii="宋体" w:hAnsi="宋体"/>
          <w:b/>
          <w:bCs/>
          <w:sz w:val="44"/>
          <w:szCs w:val="44"/>
        </w:rPr>
      </w:pPr>
      <w:r>
        <w:rPr>
          <w:rFonts w:ascii="宋体" w:hAnsi="宋体"/>
          <w:b/>
          <w:bCs/>
          <w:sz w:val="44"/>
          <w:szCs w:val="44"/>
        </w:rPr>
        <w:br w:type="page"/>
      </w:r>
      <w:r>
        <w:rPr>
          <w:rFonts w:hint="eastAsia" w:ascii="宋体" w:hAnsi="宋体"/>
          <w:b/>
          <w:bCs/>
          <w:sz w:val="44"/>
          <w:szCs w:val="44"/>
        </w:rPr>
        <w:t>供应商须知</w:t>
      </w:r>
    </w:p>
    <w:p>
      <w:pPr>
        <w:jc w:val="center"/>
        <w:rPr>
          <w:rFonts w:ascii="宋体" w:hAnsi="宋体"/>
          <w:b/>
          <w:bCs/>
          <w:sz w:val="30"/>
          <w:szCs w:val="30"/>
        </w:rPr>
      </w:pPr>
      <w:r>
        <w:rPr>
          <w:rFonts w:hint="eastAsia" w:ascii="宋体" w:hAnsi="宋体"/>
          <w:b/>
          <w:bCs/>
          <w:sz w:val="30"/>
          <w:szCs w:val="30"/>
        </w:rPr>
        <w:t>一、总  则</w:t>
      </w:r>
    </w:p>
    <w:p>
      <w:pPr>
        <w:adjustRightInd w:val="0"/>
        <w:snapToGrid w:val="0"/>
        <w:spacing w:line="360" w:lineRule="auto"/>
        <w:rPr>
          <w:rFonts w:ascii="宋体" w:hAnsi="宋体" w:cs="仿宋_GB2312"/>
          <w:b/>
          <w:bCs/>
          <w:sz w:val="24"/>
        </w:rPr>
      </w:pPr>
      <w:r>
        <w:rPr>
          <w:rFonts w:hint="eastAsia" w:ascii="宋体" w:hAnsi="宋体" w:cs="仿宋_GB2312"/>
          <w:b/>
          <w:bCs/>
          <w:sz w:val="24"/>
        </w:rPr>
        <w:t>1.采购人、采购代理机构及供应商</w:t>
      </w:r>
    </w:p>
    <w:p>
      <w:pPr>
        <w:adjustRightInd w:val="0"/>
        <w:snapToGrid w:val="0"/>
        <w:spacing w:line="360" w:lineRule="auto"/>
        <w:rPr>
          <w:rFonts w:ascii="宋体" w:hAnsi="宋体" w:cs="仿宋_GB2312"/>
          <w:sz w:val="24"/>
        </w:rPr>
      </w:pPr>
      <w:r>
        <w:rPr>
          <w:rFonts w:hint="eastAsia" w:ascii="宋体" w:hAnsi="宋体" w:cs="仿宋_GB2312"/>
          <w:sz w:val="24"/>
        </w:rPr>
        <w:t>1.1采购人：是指依法进行政府采购的国家机关、事业单位、团体组织。本项目采购人详见供应商须知前附表。</w:t>
      </w:r>
    </w:p>
    <w:p>
      <w:pPr>
        <w:adjustRightInd w:val="0"/>
        <w:snapToGrid w:val="0"/>
        <w:spacing w:line="360" w:lineRule="auto"/>
        <w:rPr>
          <w:rFonts w:ascii="宋体" w:hAnsi="宋体" w:cs="仿宋_GB2312"/>
          <w:sz w:val="24"/>
        </w:rPr>
      </w:pPr>
      <w:r>
        <w:rPr>
          <w:rFonts w:hint="eastAsia" w:ascii="宋体" w:hAnsi="宋体" w:cs="仿宋_GB2312"/>
          <w:sz w:val="24"/>
        </w:rPr>
        <w:t>1.2采购代理机构：是指集中采购机构或从事采购代理业务的社会中介机构，本项目采购代理机构详见供应商须知前附表。</w:t>
      </w:r>
    </w:p>
    <w:p>
      <w:pPr>
        <w:adjustRightInd w:val="0"/>
        <w:snapToGrid w:val="0"/>
        <w:spacing w:line="360" w:lineRule="auto"/>
        <w:rPr>
          <w:rFonts w:ascii="宋体" w:hAnsi="宋体" w:cs="仿宋_GB2312"/>
          <w:sz w:val="24"/>
        </w:rPr>
      </w:pPr>
      <w:r>
        <w:rPr>
          <w:rFonts w:hint="eastAsia" w:ascii="宋体" w:hAnsi="宋体" w:cs="仿宋_GB2312"/>
          <w:sz w:val="24"/>
        </w:rPr>
        <w:t>1.3供应商：是指向采购人提供货物、工程或者服务的法人、非法人组织或者自然人。本项目的供应商及其响应服务须满足以下条件：</w:t>
      </w:r>
    </w:p>
    <w:p>
      <w:pPr>
        <w:adjustRightInd w:val="0"/>
        <w:snapToGrid w:val="0"/>
        <w:spacing w:line="360" w:lineRule="auto"/>
        <w:rPr>
          <w:rFonts w:ascii="宋体" w:hAnsi="宋体" w:cs="仿宋_GB2312"/>
          <w:sz w:val="24"/>
        </w:rPr>
      </w:pPr>
      <w:r>
        <w:rPr>
          <w:rFonts w:hint="eastAsia" w:ascii="宋体" w:hAnsi="宋体" w:cs="仿宋_GB2312"/>
          <w:sz w:val="24"/>
        </w:rPr>
        <w:t>1.3.1在中华人民共和国境内注册，能够独立承担民事责任，有生产或供应能力的本国供应商。</w:t>
      </w:r>
    </w:p>
    <w:p>
      <w:pPr>
        <w:adjustRightInd w:val="0"/>
        <w:snapToGrid w:val="0"/>
        <w:spacing w:line="360" w:lineRule="auto"/>
        <w:rPr>
          <w:rFonts w:ascii="宋体" w:hAnsi="宋体" w:cs="仿宋_GB2312"/>
          <w:sz w:val="24"/>
        </w:rPr>
      </w:pPr>
      <w:r>
        <w:rPr>
          <w:rFonts w:hint="eastAsia" w:ascii="宋体" w:hAnsi="宋体" w:cs="仿宋_GB2312"/>
          <w:sz w:val="24"/>
        </w:rPr>
        <w:t>1.3.2符合《中华人民共和国政府采购法》第二十二条关于供应商条件的规定，遵守本项目采购人本级和上级财政部门关于政府采购的有关规定。</w:t>
      </w:r>
    </w:p>
    <w:p>
      <w:pPr>
        <w:adjustRightInd w:val="0"/>
        <w:snapToGrid w:val="0"/>
        <w:spacing w:line="360" w:lineRule="auto"/>
        <w:rPr>
          <w:rFonts w:ascii="宋体" w:hAnsi="宋体" w:cs="仿宋_GB2312"/>
          <w:sz w:val="24"/>
        </w:rPr>
      </w:pPr>
      <w:r>
        <w:rPr>
          <w:rFonts w:hint="eastAsia" w:ascii="宋体" w:hAnsi="宋体" w:cs="仿宋_GB2312"/>
          <w:sz w:val="24"/>
        </w:rPr>
        <w:t>1.3.3以采购公告中要求的方式获得了本项目的采购文件。</w:t>
      </w:r>
    </w:p>
    <w:p>
      <w:pPr>
        <w:adjustRightInd w:val="0"/>
        <w:snapToGrid w:val="0"/>
        <w:spacing w:line="360" w:lineRule="auto"/>
        <w:rPr>
          <w:rFonts w:ascii="宋体" w:hAnsi="宋体" w:cs="仿宋_GB2312"/>
          <w:sz w:val="24"/>
        </w:rPr>
      </w:pPr>
      <w:r>
        <w:rPr>
          <w:rFonts w:hint="eastAsia" w:ascii="宋体" w:hAnsi="宋体" w:cs="仿宋_GB2312"/>
          <w:sz w:val="24"/>
        </w:rPr>
        <w:t>1.4本项目不允许联合体参加采购活动。</w:t>
      </w:r>
    </w:p>
    <w:p>
      <w:pPr>
        <w:adjustRightInd w:val="0"/>
        <w:snapToGrid w:val="0"/>
        <w:spacing w:line="360" w:lineRule="auto"/>
        <w:rPr>
          <w:rFonts w:ascii="宋体" w:hAnsi="宋体" w:cs="仿宋_GB2312"/>
          <w:sz w:val="24"/>
        </w:rPr>
      </w:pPr>
      <w:r>
        <w:rPr>
          <w:rFonts w:hint="eastAsia" w:ascii="宋体" w:hAnsi="宋体" w:cs="仿宋_GB2312"/>
          <w:sz w:val="24"/>
        </w:rPr>
        <w:t>1.5单位负责人为同一人或者存在直接控股、管理关系的不同供应商，其相关响应将被认定为无效响应。</w:t>
      </w:r>
    </w:p>
    <w:p>
      <w:pPr>
        <w:adjustRightInd w:val="0"/>
        <w:snapToGrid w:val="0"/>
        <w:spacing w:line="360" w:lineRule="auto"/>
        <w:rPr>
          <w:rFonts w:ascii="宋体" w:hAnsi="宋体" w:cs="仿宋_GB2312"/>
          <w:sz w:val="24"/>
        </w:rPr>
      </w:pPr>
      <w:r>
        <w:rPr>
          <w:rFonts w:hint="eastAsia" w:ascii="宋体" w:hAnsi="宋体" w:cs="仿宋_GB2312"/>
          <w:sz w:val="24"/>
        </w:rPr>
        <w:t>1.6为本项目提供过整体设计、规范编制或者项目管理、监理、检测等服务的供应商，不得再参加本项目上述服务以外的其他采购活动，否则其响应文件将被认定为无效响应。</w:t>
      </w:r>
    </w:p>
    <w:p>
      <w:pPr>
        <w:adjustRightInd w:val="0"/>
        <w:snapToGrid w:val="0"/>
        <w:spacing w:line="360" w:lineRule="auto"/>
        <w:rPr>
          <w:rFonts w:ascii="宋体" w:hAnsi="宋体" w:cs="仿宋_GB2312"/>
          <w:sz w:val="24"/>
        </w:rPr>
      </w:pPr>
      <w:r>
        <w:rPr>
          <w:rFonts w:hint="eastAsia" w:ascii="宋体" w:hAnsi="宋体" w:cs="仿宋_GB2312"/>
          <w:sz w:val="24"/>
        </w:rPr>
        <w:t>1.7供应商在磋商过程中不得向采购人提供、给予任何有价值的物品，影响其正常决策行为。一经发现，其将被认定为无效响应。</w:t>
      </w:r>
    </w:p>
    <w:p>
      <w:pPr>
        <w:adjustRightInd w:val="0"/>
        <w:snapToGrid w:val="0"/>
        <w:spacing w:line="360" w:lineRule="auto"/>
        <w:rPr>
          <w:rFonts w:ascii="宋体" w:hAnsi="宋体" w:cs="仿宋_GB2312"/>
          <w:b/>
          <w:bCs/>
          <w:sz w:val="24"/>
        </w:rPr>
      </w:pPr>
      <w:r>
        <w:rPr>
          <w:rFonts w:hint="eastAsia" w:ascii="宋体" w:hAnsi="宋体" w:cs="仿宋_GB2312"/>
          <w:b/>
          <w:bCs/>
          <w:sz w:val="24"/>
        </w:rPr>
        <w:t>2.资金来源</w:t>
      </w:r>
    </w:p>
    <w:p>
      <w:pPr>
        <w:adjustRightInd w:val="0"/>
        <w:snapToGrid w:val="0"/>
        <w:spacing w:line="360" w:lineRule="auto"/>
        <w:rPr>
          <w:rFonts w:ascii="宋体" w:hAnsi="宋体" w:cs="仿宋_GB2312"/>
          <w:sz w:val="24"/>
        </w:rPr>
      </w:pPr>
      <w:r>
        <w:rPr>
          <w:rFonts w:hint="eastAsia" w:ascii="宋体" w:hAnsi="宋体" w:cs="仿宋_GB2312"/>
          <w:sz w:val="24"/>
        </w:rPr>
        <w:t>2.1本项目的采购人已获得足以支付本次磋商后所签订的合同项下的资金（包括财政性资金和本项目采购中无法与财政性资金分割的非财政性资金）。</w:t>
      </w:r>
    </w:p>
    <w:p>
      <w:pPr>
        <w:adjustRightInd w:val="0"/>
        <w:snapToGrid w:val="0"/>
        <w:spacing w:line="360" w:lineRule="auto"/>
        <w:rPr>
          <w:rFonts w:ascii="宋体" w:hAnsi="宋体" w:cs="仿宋_GB2312"/>
          <w:sz w:val="24"/>
        </w:rPr>
      </w:pPr>
      <w:r>
        <w:rPr>
          <w:rFonts w:hint="eastAsia" w:ascii="宋体" w:hAnsi="宋体" w:cs="仿宋_GB2312"/>
          <w:sz w:val="24"/>
        </w:rPr>
        <w:t>2.2项目预算金额和分项或分包最高限价相见供应商须知前附表。</w:t>
      </w:r>
    </w:p>
    <w:p>
      <w:pPr>
        <w:adjustRightInd w:val="0"/>
        <w:snapToGrid w:val="0"/>
        <w:spacing w:line="360" w:lineRule="auto"/>
        <w:rPr>
          <w:rFonts w:ascii="宋体" w:hAnsi="宋体" w:cs="仿宋_GB2312"/>
          <w:sz w:val="24"/>
        </w:rPr>
      </w:pPr>
      <w:r>
        <w:rPr>
          <w:rFonts w:hint="eastAsia" w:ascii="宋体" w:hAnsi="宋体" w:cs="仿宋_GB2312"/>
          <w:sz w:val="24"/>
        </w:rPr>
        <w:t>2.3供应商报价超过采购文件规定的预算金额或者分项、分包最高限价的，其响应文件将被认定为无效响应。</w:t>
      </w:r>
    </w:p>
    <w:p>
      <w:pPr>
        <w:adjustRightInd w:val="0"/>
        <w:snapToGrid w:val="0"/>
        <w:spacing w:line="360" w:lineRule="auto"/>
        <w:rPr>
          <w:rFonts w:ascii="宋体" w:hAnsi="宋体" w:cs="仿宋_GB2312"/>
          <w:b/>
          <w:sz w:val="24"/>
        </w:rPr>
      </w:pPr>
      <w:bookmarkStart w:id="35" w:name="_Toc266951048"/>
      <w:r>
        <w:rPr>
          <w:rFonts w:hint="eastAsia" w:ascii="宋体" w:hAnsi="宋体" w:cs="仿宋_GB2312"/>
          <w:b/>
          <w:sz w:val="24"/>
        </w:rPr>
        <w:t>3.语言文字</w:t>
      </w:r>
      <w:bookmarkEnd w:id="35"/>
    </w:p>
    <w:p>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除专用术语外，与磋商有关的语言均使用中文。必要时专用术语应附有中文注释。对不同文字文本响应文件的解释发生异议的，以中文文本为准。</w:t>
      </w:r>
    </w:p>
    <w:p>
      <w:pPr>
        <w:adjustRightInd w:val="0"/>
        <w:snapToGrid w:val="0"/>
        <w:spacing w:line="360" w:lineRule="auto"/>
        <w:rPr>
          <w:rFonts w:ascii="宋体" w:hAnsi="宋体" w:cs="仿宋_GB2312"/>
          <w:b/>
          <w:sz w:val="24"/>
        </w:rPr>
      </w:pPr>
      <w:bookmarkStart w:id="36" w:name="_1.8_计量单位"/>
      <w:bookmarkEnd w:id="36"/>
      <w:bookmarkStart w:id="37" w:name="_Toc266951049"/>
      <w:r>
        <w:rPr>
          <w:rFonts w:hint="eastAsia" w:ascii="宋体" w:hAnsi="宋体" w:cs="仿宋_GB2312"/>
          <w:b/>
          <w:sz w:val="24"/>
        </w:rPr>
        <w:t>4.计量单位</w:t>
      </w:r>
      <w:bookmarkEnd w:id="37"/>
    </w:p>
    <w:p>
      <w:pPr>
        <w:adjustRightInd w:val="0"/>
        <w:snapToGrid w:val="0"/>
        <w:spacing w:line="360" w:lineRule="auto"/>
        <w:rPr>
          <w:rFonts w:ascii="宋体" w:hAnsi="宋体" w:cs="仿宋_GB2312"/>
          <w:sz w:val="24"/>
        </w:rPr>
      </w:pPr>
      <w:r>
        <w:rPr>
          <w:rFonts w:hint="eastAsia" w:ascii="宋体" w:hAnsi="宋体" w:cs="仿宋_GB2312"/>
          <w:sz w:val="24"/>
        </w:rPr>
        <w:t>除供应商须知前附表中有特殊要求外，响应文件中所使用的计量单位，应采用中华人民共和国法定计量单位。</w:t>
      </w:r>
    </w:p>
    <w:p>
      <w:pPr>
        <w:adjustRightInd w:val="0"/>
        <w:snapToGrid w:val="0"/>
        <w:spacing w:line="360" w:lineRule="auto"/>
        <w:rPr>
          <w:rFonts w:ascii="宋体" w:hAnsi="宋体" w:cs="仿宋_GB2312"/>
          <w:b/>
          <w:sz w:val="24"/>
        </w:rPr>
      </w:pPr>
      <w:r>
        <w:rPr>
          <w:rFonts w:hint="eastAsia" w:ascii="宋体" w:hAnsi="宋体" w:cs="仿宋_GB2312"/>
          <w:b/>
          <w:sz w:val="24"/>
        </w:rPr>
        <w:t>5.磋商费用</w:t>
      </w:r>
    </w:p>
    <w:p>
      <w:pPr>
        <w:adjustRightInd w:val="0"/>
        <w:snapToGrid w:val="0"/>
        <w:spacing w:line="360" w:lineRule="auto"/>
        <w:rPr>
          <w:rFonts w:ascii="宋体" w:hAnsi="宋体" w:cs="仿宋_GB2312"/>
          <w:sz w:val="24"/>
        </w:rPr>
      </w:pPr>
      <w:r>
        <w:rPr>
          <w:rFonts w:hint="eastAsia" w:ascii="宋体" w:hAnsi="宋体" w:cs="仿宋_GB2312"/>
          <w:sz w:val="24"/>
        </w:rPr>
        <w:t>不论磋商的结果如何，供应商应承担所有与本次政府采购活动有关的费用。</w:t>
      </w:r>
    </w:p>
    <w:p>
      <w:pPr>
        <w:adjustRightInd w:val="0"/>
        <w:snapToGrid w:val="0"/>
        <w:spacing w:line="360" w:lineRule="auto"/>
        <w:rPr>
          <w:rFonts w:ascii="宋体" w:hAnsi="宋体" w:cs="仿宋_GB2312"/>
          <w:b/>
          <w:sz w:val="24"/>
        </w:rPr>
      </w:pPr>
      <w:r>
        <w:rPr>
          <w:rFonts w:hint="eastAsia" w:ascii="宋体" w:hAnsi="宋体" w:cs="仿宋_GB2312"/>
          <w:b/>
          <w:sz w:val="24"/>
        </w:rPr>
        <w:t>6.现场考察、前答</w:t>
      </w:r>
    </w:p>
    <w:p>
      <w:pPr>
        <w:adjustRightInd w:val="0"/>
        <w:snapToGrid w:val="0"/>
        <w:spacing w:line="360" w:lineRule="auto"/>
        <w:rPr>
          <w:rFonts w:ascii="宋体" w:hAnsi="宋体" w:cs="仿宋_GB2312"/>
          <w:sz w:val="24"/>
        </w:rPr>
      </w:pPr>
      <w:r>
        <w:rPr>
          <w:rFonts w:hint="eastAsia" w:ascii="宋体" w:hAnsi="宋体" w:cs="仿宋_GB2312"/>
          <w:sz w:val="24"/>
        </w:rPr>
        <w:t>6.1本项目不组织现场考察，如需考察，自行前往所发生的费用及一切责任由供应商自行承担。</w:t>
      </w:r>
    </w:p>
    <w:p>
      <w:pPr>
        <w:adjustRightInd w:val="0"/>
        <w:snapToGrid w:val="0"/>
        <w:spacing w:line="360" w:lineRule="auto"/>
        <w:rPr>
          <w:rFonts w:ascii="宋体" w:hAnsi="宋体" w:cs="仿宋_GB2312"/>
          <w:sz w:val="24"/>
        </w:rPr>
      </w:pPr>
      <w:r>
        <w:rPr>
          <w:rFonts w:hint="eastAsia" w:ascii="宋体" w:hAnsi="宋体" w:cs="仿宋_GB2312"/>
          <w:sz w:val="24"/>
        </w:rPr>
        <w:t>6.2答疑：</w:t>
      </w:r>
    </w:p>
    <w:p>
      <w:pPr>
        <w:adjustRightInd w:val="0"/>
        <w:snapToGrid w:val="0"/>
        <w:spacing w:line="360" w:lineRule="auto"/>
        <w:rPr>
          <w:rFonts w:ascii="宋体" w:hAnsi="宋体" w:cs="仿宋_GB2312"/>
          <w:sz w:val="24"/>
        </w:rPr>
      </w:pPr>
      <w:r>
        <w:rPr>
          <w:rFonts w:hint="eastAsia" w:ascii="宋体" w:hAnsi="宋体" w:cs="仿宋_GB2312"/>
          <w:sz w:val="24"/>
        </w:rPr>
        <w:t>6.2.1采购人应根据供应商提出的问题，统一以答疑函形式给予澄清、解答。供应商需要采购人澄清的问题，应于前附表规定时间前以书面方式向采购人提出。</w:t>
      </w:r>
    </w:p>
    <w:p>
      <w:pPr>
        <w:adjustRightInd w:val="0"/>
        <w:snapToGrid w:val="0"/>
        <w:spacing w:line="360" w:lineRule="auto"/>
        <w:rPr>
          <w:rFonts w:ascii="宋体" w:hAnsi="宋体" w:cs="仿宋_GB2312"/>
          <w:sz w:val="24"/>
        </w:rPr>
      </w:pPr>
      <w:r>
        <w:rPr>
          <w:rFonts w:hint="eastAsia" w:ascii="宋体" w:hAnsi="宋体" w:cs="仿宋_GB2312"/>
          <w:sz w:val="24"/>
        </w:rPr>
        <w:t>6.2.2采购人在《答疑函》上解释供应商于规定时间之前提出的所有与磋商有关的问题。《答疑函》是磋商文件的组成部分。</w:t>
      </w:r>
    </w:p>
    <w:p>
      <w:pPr>
        <w:adjustRightInd w:val="0"/>
        <w:snapToGrid w:val="0"/>
        <w:spacing w:line="360" w:lineRule="auto"/>
        <w:rPr>
          <w:rFonts w:ascii="宋体" w:hAnsi="宋体" w:cs="仿宋_GB2312"/>
          <w:sz w:val="24"/>
        </w:rPr>
      </w:pPr>
      <w:bookmarkStart w:id="38" w:name="_1.10_投标预备会"/>
      <w:bookmarkEnd w:id="38"/>
      <w:r>
        <w:rPr>
          <w:rFonts w:hint="eastAsia" w:ascii="宋体" w:hAnsi="宋体" w:cs="仿宋_GB2312"/>
          <w:sz w:val="24"/>
        </w:rPr>
        <w:t>6.2.3答疑函所产生的对本磋商文件内容的修改，采购人将按本磋商文件规定，以补充</w:t>
      </w:r>
      <w:r>
        <w:rPr>
          <w:rFonts w:hint="eastAsia" w:ascii="宋体" w:hAnsi="宋体"/>
          <w:sz w:val="24"/>
        </w:rPr>
        <w:t>公告形式</w:t>
      </w:r>
      <w:r>
        <w:rPr>
          <w:rFonts w:hint="eastAsia" w:ascii="宋体" w:hAnsi="宋体" w:cs="仿宋_GB2312"/>
          <w:sz w:val="24"/>
        </w:rPr>
        <w:t>在大连市政府采购网</w:t>
      </w:r>
      <w:r>
        <w:rPr>
          <w:rFonts w:hint="eastAsia" w:ascii="宋体" w:hAnsi="宋体"/>
          <w:sz w:val="24"/>
        </w:rPr>
        <w:t>通知潜在供应商</w:t>
      </w:r>
      <w:r>
        <w:rPr>
          <w:rFonts w:hint="eastAsia" w:ascii="宋体" w:hAnsi="宋体" w:cs="仿宋_GB2312"/>
          <w:sz w:val="24"/>
        </w:rPr>
        <w:t>。</w:t>
      </w:r>
    </w:p>
    <w:p>
      <w:pPr>
        <w:adjustRightInd w:val="0"/>
        <w:snapToGrid w:val="0"/>
        <w:spacing w:line="360" w:lineRule="auto"/>
        <w:rPr>
          <w:rFonts w:ascii="宋体" w:hAnsi="宋体" w:cs="仿宋_GB2312"/>
          <w:b/>
          <w:bCs/>
          <w:sz w:val="24"/>
        </w:rPr>
      </w:pPr>
      <w:r>
        <w:rPr>
          <w:rFonts w:hint="eastAsia" w:ascii="宋体" w:hAnsi="宋体" w:cs="仿宋_GB2312"/>
          <w:b/>
          <w:bCs/>
          <w:sz w:val="24"/>
        </w:rPr>
        <w:t>7.适用法律</w:t>
      </w:r>
    </w:p>
    <w:p>
      <w:pPr>
        <w:adjustRightInd w:val="0"/>
        <w:snapToGrid w:val="0"/>
        <w:spacing w:line="360" w:lineRule="auto"/>
        <w:rPr>
          <w:rFonts w:ascii="宋体" w:hAnsi="宋体" w:cs="仿宋_GB2312"/>
          <w:sz w:val="24"/>
        </w:rPr>
      </w:pPr>
      <w:r>
        <w:rPr>
          <w:rFonts w:hint="eastAsia" w:ascii="宋体" w:hAnsi="宋体" w:cs="仿宋_GB2312"/>
          <w:sz w:val="24"/>
        </w:rPr>
        <w:t>本项目的采购人、采购代理机构、供应商、磋商小组的相关行为均受《中华人民共和国政府采购法》、《中华人民共和国政府采购法实施条例》、《政府采购竞争性磋商采购方式管理暂行办法》及本项目本级和上级财政部门关于政府采购有关规定的约束，其权利受到上述法律法规的保护。</w:t>
      </w:r>
    </w:p>
    <w:p>
      <w:pPr>
        <w:jc w:val="center"/>
        <w:rPr>
          <w:rFonts w:ascii="宋体" w:hAnsi="宋体"/>
          <w:b/>
          <w:bCs/>
          <w:sz w:val="30"/>
          <w:szCs w:val="30"/>
        </w:rPr>
      </w:pPr>
      <w:r>
        <w:rPr>
          <w:rFonts w:hint="eastAsia" w:ascii="宋体" w:hAnsi="宋体"/>
          <w:b/>
          <w:bCs/>
          <w:sz w:val="30"/>
          <w:szCs w:val="30"/>
        </w:rPr>
        <w:t>二、采购文件</w:t>
      </w:r>
    </w:p>
    <w:p>
      <w:pPr>
        <w:adjustRightInd w:val="0"/>
        <w:snapToGrid w:val="0"/>
        <w:spacing w:line="360" w:lineRule="auto"/>
        <w:rPr>
          <w:rFonts w:ascii="宋体" w:hAnsi="宋体" w:cs="仿宋_GB2312"/>
          <w:b/>
          <w:bCs/>
          <w:sz w:val="24"/>
        </w:rPr>
      </w:pPr>
      <w:r>
        <w:rPr>
          <w:rFonts w:hint="eastAsia" w:ascii="宋体" w:hAnsi="宋体" w:cs="仿宋_GB2312"/>
          <w:b/>
          <w:bCs/>
          <w:sz w:val="24"/>
        </w:rPr>
        <w:t>8.采购文件构成</w:t>
      </w:r>
    </w:p>
    <w:p>
      <w:pPr>
        <w:adjustRightInd w:val="0"/>
        <w:snapToGrid w:val="0"/>
        <w:spacing w:line="360" w:lineRule="auto"/>
        <w:rPr>
          <w:rFonts w:ascii="宋体" w:hAnsi="宋体" w:cs="仿宋_GB2312"/>
          <w:sz w:val="24"/>
        </w:rPr>
      </w:pPr>
      <w:r>
        <w:rPr>
          <w:rFonts w:hint="eastAsia" w:ascii="宋体" w:hAnsi="宋体" w:cs="仿宋_GB2312"/>
          <w:sz w:val="24"/>
        </w:rPr>
        <w:t>8.1采购文件共六章，内容如下:</w:t>
      </w:r>
    </w:p>
    <w:p>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采购公告</w:t>
      </w:r>
    </w:p>
    <w:p>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第一章 供应商须知</w:t>
      </w:r>
    </w:p>
    <w:p>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第二章 合同条款及合同格式</w:t>
      </w:r>
    </w:p>
    <w:p>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第三章 项目服务需求</w:t>
      </w:r>
    </w:p>
    <w:p>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第四章 磋商响应文件格式</w:t>
      </w:r>
    </w:p>
    <w:p>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评审办法</w:t>
      </w:r>
    </w:p>
    <w:p>
      <w:pPr>
        <w:adjustRightInd w:val="0"/>
        <w:snapToGrid w:val="0"/>
        <w:spacing w:line="360" w:lineRule="auto"/>
        <w:rPr>
          <w:rFonts w:ascii="宋体" w:hAnsi="宋体" w:cs="仿宋_GB2312"/>
          <w:sz w:val="24"/>
        </w:rPr>
      </w:pPr>
      <w:r>
        <w:rPr>
          <w:rFonts w:hint="eastAsia" w:ascii="宋体" w:hAnsi="宋体" w:cs="仿宋_GB2312"/>
          <w:sz w:val="24"/>
        </w:rPr>
        <w:t>8.2供应商应认真阅读采购文件所有的事项、格式、条款等。如供应商没有按照采购文件要求提交资料，或者响应文件没有对采购文件做出实质性响应，可能导致其响应文件被认定为无效响应。</w:t>
      </w:r>
    </w:p>
    <w:p>
      <w:pPr>
        <w:adjustRightInd w:val="0"/>
        <w:snapToGrid w:val="0"/>
        <w:spacing w:line="360" w:lineRule="auto"/>
        <w:rPr>
          <w:rFonts w:ascii="宋体" w:hAnsi="宋体" w:cs="仿宋_GB2312"/>
          <w:b/>
          <w:bCs/>
          <w:sz w:val="24"/>
        </w:rPr>
      </w:pPr>
      <w:r>
        <w:rPr>
          <w:rFonts w:hint="eastAsia" w:ascii="宋体" w:hAnsi="宋体" w:cs="仿宋_GB2312"/>
          <w:b/>
          <w:bCs/>
          <w:sz w:val="24"/>
        </w:rPr>
        <w:t>9.采购文件的澄清与修改</w:t>
      </w:r>
    </w:p>
    <w:p>
      <w:pPr>
        <w:adjustRightInd w:val="0"/>
        <w:snapToGrid w:val="0"/>
        <w:spacing w:line="360" w:lineRule="auto"/>
        <w:rPr>
          <w:rFonts w:ascii="宋体" w:hAnsi="宋体" w:cs="仿宋_GB2312"/>
          <w:sz w:val="24"/>
          <w:shd w:val="clear" w:color="auto" w:fill="FFFFFF"/>
        </w:rPr>
      </w:pPr>
      <w:r>
        <w:rPr>
          <w:rFonts w:hint="eastAsia" w:ascii="宋体" w:hAnsi="宋体" w:cs="仿宋_GB2312"/>
          <w:sz w:val="24"/>
        </w:rPr>
        <w:t>9.1</w:t>
      </w:r>
      <w:r>
        <w:rPr>
          <w:rFonts w:hint="eastAsia" w:ascii="宋体" w:hAnsi="宋体" w:cs="仿宋_GB2312"/>
          <w:sz w:val="24"/>
          <w:shd w:val="clear" w:color="auto" w:fill="FFFFFF"/>
        </w:rPr>
        <w:t>采购人、采购代理机构可以对已发出的采购文件进行必要的澄清或者修改。澄清或者修改的内容可能影响响应文件编制的，应当在递交首次响应文件截止时间至少5日前，</w:t>
      </w:r>
      <w:r>
        <w:rPr>
          <w:rFonts w:hint="eastAsia" w:ascii="宋体" w:hAnsi="宋体" w:cs="仿宋_GB2312"/>
          <w:sz w:val="24"/>
        </w:rPr>
        <w:t>在原公告发布媒体上发布变更公告</w:t>
      </w:r>
      <w:r>
        <w:rPr>
          <w:rFonts w:hint="eastAsia" w:ascii="宋体" w:hAnsi="宋体" w:cs="仿宋_GB2312"/>
          <w:sz w:val="24"/>
          <w:shd w:val="clear" w:color="auto" w:fill="FFFFFF"/>
        </w:rPr>
        <w:t>，不足5日的，应当顺延首次递交响应文件截止时间。</w:t>
      </w:r>
    </w:p>
    <w:p>
      <w:pPr>
        <w:adjustRightInd w:val="0"/>
        <w:snapToGrid w:val="0"/>
        <w:spacing w:line="360" w:lineRule="auto"/>
        <w:rPr>
          <w:rFonts w:ascii="宋体" w:hAnsi="宋体"/>
          <w:sz w:val="24"/>
        </w:rPr>
      </w:pPr>
      <w:r>
        <w:rPr>
          <w:rFonts w:hint="eastAsia" w:ascii="宋体" w:hAnsi="宋体" w:cs="仿宋_GB2312"/>
          <w:sz w:val="24"/>
        </w:rPr>
        <w:t>9.2澄清或者修改的内容为采购文件的组成部分，</w:t>
      </w:r>
      <w:r>
        <w:rPr>
          <w:rFonts w:hint="eastAsia" w:ascii="宋体" w:hAnsi="宋体" w:cs="仿宋_GB2312"/>
          <w:sz w:val="24"/>
          <w:shd w:val="clear" w:color="auto" w:fill="FFFFFF"/>
        </w:rPr>
        <w:t>采购人、采购代理机构</w:t>
      </w:r>
      <w:r>
        <w:rPr>
          <w:rFonts w:hint="eastAsia" w:ascii="宋体" w:hAnsi="宋体"/>
          <w:sz w:val="24"/>
        </w:rPr>
        <w:t>以大连市政府采购公告形式通知潜在供应商，已报名供应商应关注大连市政府采购网及时了解本项目，因自身原因未能查看澄清或修改公告而导致响应文件编制出现问题自行承担。</w:t>
      </w:r>
    </w:p>
    <w:p>
      <w:pPr>
        <w:jc w:val="center"/>
        <w:rPr>
          <w:rFonts w:ascii="宋体" w:hAnsi="宋体"/>
          <w:b/>
          <w:bCs/>
          <w:sz w:val="30"/>
          <w:szCs w:val="30"/>
        </w:rPr>
      </w:pPr>
      <w:bookmarkStart w:id="39" w:name="_Toc4485621"/>
      <w:bookmarkStart w:id="40" w:name="_Toc533340142"/>
      <w:r>
        <w:rPr>
          <w:rFonts w:hint="eastAsia" w:ascii="宋体" w:hAnsi="宋体"/>
          <w:b/>
          <w:bCs/>
          <w:sz w:val="30"/>
          <w:szCs w:val="30"/>
        </w:rPr>
        <w:t>三、响应文件的编制</w:t>
      </w:r>
      <w:bookmarkEnd w:id="39"/>
      <w:bookmarkEnd w:id="40"/>
    </w:p>
    <w:p>
      <w:pPr>
        <w:adjustRightInd w:val="0"/>
        <w:snapToGrid w:val="0"/>
        <w:spacing w:line="360" w:lineRule="auto"/>
        <w:rPr>
          <w:rFonts w:ascii="宋体" w:hAnsi="宋体" w:cs="仿宋_GB2312"/>
          <w:b/>
          <w:sz w:val="24"/>
        </w:rPr>
      </w:pPr>
      <w:r>
        <w:rPr>
          <w:rFonts w:hint="eastAsia" w:ascii="宋体" w:hAnsi="宋体" w:cs="仿宋_GB2312"/>
          <w:b/>
          <w:bCs/>
          <w:sz w:val="24"/>
        </w:rPr>
        <w:t>10.</w:t>
      </w:r>
      <w:r>
        <w:rPr>
          <w:rFonts w:hint="eastAsia" w:ascii="宋体" w:hAnsi="宋体" w:cs="仿宋_GB2312"/>
          <w:b/>
          <w:sz w:val="24"/>
        </w:rPr>
        <w:t>响应范围</w:t>
      </w:r>
    </w:p>
    <w:p>
      <w:pPr>
        <w:adjustRightInd w:val="0"/>
        <w:snapToGrid w:val="0"/>
        <w:spacing w:line="360" w:lineRule="auto"/>
        <w:rPr>
          <w:rFonts w:ascii="宋体" w:hAnsi="宋体" w:cs="仿宋_GB2312"/>
          <w:sz w:val="24"/>
        </w:rPr>
      </w:pPr>
      <w:r>
        <w:rPr>
          <w:rFonts w:hint="eastAsia" w:ascii="宋体" w:hAnsi="宋体" w:cs="仿宋_GB2312"/>
          <w:sz w:val="24"/>
        </w:rPr>
        <w:t>10.1项目有分包的，供应商可对采购文件其中某一个分包或几个分包进行响应。</w:t>
      </w:r>
    </w:p>
    <w:p>
      <w:pPr>
        <w:adjustRightInd w:val="0"/>
        <w:snapToGrid w:val="0"/>
        <w:spacing w:line="360" w:lineRule="auto"/>
        <w:rPr>
          <w:rFonts w:ascii="宋体" w:hAnsi="宋体" w:cs="仿宋_GB2312"/>
          <w:b/>
          <w:sz w:val="24"/>
        </w:rPr>
      </w:pPr>
      <w:r>
        <w:rPr>
          <w:rFonts w:hint="eastAsia" w:ascii="宋体" w:hAnsi="宋体" w:cs="仿宋_GB2312"/>
          <w:sz w:val="24"/>
        </w:rPr>
        <w:t>10.2供应商应当对所响应分包采购文件中“服务需求”所列的所有服务内容进行响应，如仅响应分包中某一部分内容，其该包响应文件将被认定为无效响应。</w:t>
      </w:r>
    </w:p>
    <w:p>
      <w:pPr>
        <w:adjustRightInd w:val="0"/>
        <w:snapToGrid w:val="0"/>
        <w:spacing w:line="360" w:lineRule="auto"/>
        <w:rPr>
          <w:rFonts w:ascii="宋体" w:hAnsi="宋体"/>
          <w:sz w:val="24"/>
        </w:rPr>
      </w:pPr>
      <w:r>
        <w:rPr>
          <w:rFonts w:hint="eastAsia" w:ascii="宋体" w:hAnsi="宋体" w:cs="仿宋_GB2312"/>
          <w:sz w:val="24"/>
        </w:rPr>
        <w:t>10.3无论采购文件第三章服务需求中是否要求，供应商所响应的服务均应符合国家强制性标准。</w:t>
      </w:r>
    </w:p>
    <w:p>
      <w:pPr>
        <w:adjustRightInd w:val="0"/>
        <w:snapToGrid w:val="0"/>
        <w:spacing w:line="360" w:lineRule="auto"/>
        <w:rPr>
          <w:rFonts w:ascii="宋体" w:hAnsi="宋体" w:cs="仿宋_GB2312"/>
          <w:b/>
          <w:sz w:val="24"/>
        </w:rPr>
      </w:pPr>
      <w:r>
        <w:rPr>
          <w:rFonts w:hint="eastAsia" w:ascii="宋体" w:hAnsi="宋体" w:cs="仿宋_GB2312"/>
          <w:b/>
          <w:sz w:val="24"/>
        </w:rPr>
        <w:t>11.响应文件构成</w:t>
      </w:r>
    </w:p>
    <w:p>
      <w:pPr>
        <w:adjustRightInd w:val="0"/>
        <w:snapToGrid w:val="0"/>
        <w:spacing w:line="360" w:lineRule="auto"/>
        <w:rPr>
          <w:rFonts w:ascii="宋体" w:hAnsi="宋体" w:cs="仿宋_GB2312"/>
          <w:sz w:val="24"/>
        </w:rPr>
      </w:pPr>
      <w:r>
        <w:rPr>
          <w:rFonts w:hint="eastAsia" w:ascii="宋体" w:hAnsi="宋体" w:cs="仿宋_GB2312"/>
          <w:sz w:val="24"/>
        </w:rPr>
        <w:t>11.1供应商应完整地按采购文件提供的响应文件格式及要求编写响应文件。具体详见第四章 响应文件内容及格式。</w:t>
      </w:r>
    </w:p>
    <w:p>
      <w:pPr>
        <w:adjustRightInd w:val="0"/>
        <w:snapToGrid w:val="0"/>
        <w:spacing w:line="360" w:lineRule="auto"/>
        <w:rPr>
          <w:rFonts w:ascii="宋体" w:hAnsi="宋体" w:cs="仿宋_GB2312"/>
          <w:sz w:val="24"/>
        </w:rPr>
      </w:pPr>
      <w:r>
        <w:rPr>
          <w:rFonts w:hint="eastAsia" w:ascii="宋体" w:hAnsi="宋体" w:cs="仿宋_GB2312"/>
          <w:sz w:val="24"/>
        </w:rPr>
        <w:t>11.2供应商应按采购文件提供的格式编写响应文件。采购文件提供标准格式的按标准格式填列，未提供标准格式的可自行拟定。</w:t>
      </w:r>
    </w:p>
    <w:p>
      <w:pPr>
        <w:adjustRightInd w:val="0"/>
        <w:snapToGrid w:val="0"/>
        <w:spacing w:line="360" w:lineRule="auto"/>
        <w:rPr>
          <w:rFonts w:ascii="宋体" w:hAnsi="宋体" w:cs="仿宋_GB2312"/>
          <w:b/>
          <w:sz w:val="24"/>
        </w:rPr>
      </w:pPr>
      <w:r>
        <w:rPr>
          <w:rFonts w:hint="eastAsia" w:ascii="宋体" w:hAnsi="宋体" w:cs="仿宋_GB2312"/>
          <w:b/>
          <w:sz w:val="24"/>
        </w:rPr>
        <w:t>12.响应报价</w:t>
      </w:r>
    </w:p>
    <w:p>
      <w:pPr>
        <w:adjustRightInd w:val="0"/>
        <w:snapToGrid w:val="0"/>
        <w:spacing w:line="360" w:lineRule="auto"/>
        <w:rPr>
          <w:rFonts w:ascii="宋体" w:hAnsi="宋体" w:cs="仿宋_GB2312"/>
          <w:sz w:val="24"/>
        </w:rPr>
      </w:pPr>
      <w:r>
        <w:rPr>
          <w:rFonts w:hint="eastAsia" w:ascii="宋体" w:hAnsi="宋体" w:cs="仿宋_GB2312"/>
          <w:sz w:val="24"/>
        </w:rPr>
        <w:t>12.1所有响应均按供应商须知前附表中要求货币进行报价。供应商的响应报价应遵守《中华人民共和国价格法》。同时，根据《中华人民共和国政府采购法》第三条的规定，为保证公平竞争，如有服务主体部分的赠与行为，其响应文件将被认定为无效响应。</w:t>
      </w:r>
    </w:p>
    <w:p>
      <w:pPr>
        <w:adjustRightInd w:val="0"/>
        <w:snapToGrid w:val="0"/>
        <w:spacing w:line="360" w:lineRule="auto"/>
        <w:rPr>
          <w:rFonts w:ascii="宋体" w:hAnsi="宋体" w:cs="仿宋_GB2312"/>
          <w:sz w:val="24"/>
        </w:rPr>
      </w:pPr>
      <w:r>
        <w:rPr>
          <w:rFonts w:hint="eastAsia" w:ascii="宋体" w:hAnsi="宋体" w:cs="仿宋_GB2312"/>
          <w:sz w:val="24"/>
        </w:rPr>
        <w:t>12.2供应商应按采购文件要求在相关表格中标明响应服务及伴随货物的单价和总价，并由法定代表人（非法人组织的负责人）或其委托代理人签署。</w:t>
      </w:r>
    </w:p>
    <w:p>
      <w:pPr>
        <w:adjustRightInd w:val="0"/>
        <w:snapToGrid w:val="0"/>
        <w:spacing w:line="360" w:lineRule="auto"/>
        <w:rPr>
          <w:rFonts w:ascii="宋体" w:hAnsi="宋体" w:cs="仿宋_GB2312"/>
          <w:sz w:val="24"/>
        </w:rPr>
      </w:pPr>
      <w:r>
        <w:rPr>
          <w:rFonts w:hint="eastAsia" w:ascii="宋体" w:hAnsi="宋体" w:cs="仿宋_GB2312"/>
          <w:sz w:val="24"/>
        </w:rPr>
        <w:t>12.3供应商提交的最后报价,在合同履行过程中是固定不变的，不得以任何理由予以变更。任何包含价格调整要求的响应，其响应文件将被认定为无效响应。</w:t>
      </w:r>
    </w:p>
    <w:p>
      <w:pPr>
        <w:adjustRightInd w:val="0"/>
        <w:snapToGrid w:val="0"/>
        <w:spacing w:line="360" w:lineRule="auto"/>
        <w:rPr>
          <w:rFonts w:ascii="宋体" w:hAnsi="宋体" w:cs="仿宋_GB2312"/>
          <w:sz w:val="24"/>
        </w:rPr>
      </w:pPr>
      <w:r>
        <w:rPr>
          <w:rFonts w:hint="eastAsia" w:ascii="宋体" w:hAnsi="宋体" w:cs="仿宋_GB2312"/>
          <w:sz w:val="24"/>
        </w:rPr>
        <w:t>12.4每种服务只能有一个响应报价。采购人不接受具有附加条件的报价。</w:t>
      </w:r>
    </w:p>
    <w:p>
      <w:pPr>
        <w:adjustRightInd w:val="0"/>
        <w:snapToGrid w:val="0"/>
        <w:spacing w:line="360" w:lineRule="auto"/>
        <w:rPr>
          <w:rFonts w:ascii="宋体" w:hAnsi="宋体" w:cs="仿宋_GB2312"/>
          <w:sz w:val="24"/>
        </w:rPr>
      </w:pPr>
      <w:r>
        <w:rPr>
          <w:rFonts w:hint="eastAsia" w:ascii="宋体" w:hAnsi="宋体" w:cs="仿宋_GB2312"/>
          <w:sz w:val="24"/>
        </w:rPr>
        <w:t>12.5除非采购文件另有规定，报价原则上精确到小数点后两位。</w:t>
      </w:r>
    </w:p>
    <w:p>
      <w:pPr>
        <w:adjustRightInd w:val="0"/>
        <w:snapToGrid w:val="0"/>
        <w:spacing w:line="360" w:lineRule="auto"/>
        <w:jc w:val="left"/>
        <w:rPr>
          <w:rFonts w:ascii="宋体" w:hAnsi="宋体" w:cs="仿宋_GB2312"/>
          <w:b/>
          <w:sz w:val="24"/>
        </w:rPr>
      </w:pPr>
      <w:r>
        <w:rPr>
          <w:rFonts w:hint="eastAsia" w:ascii="宋体" w:hAnsi="宋体" w:cs="仿宋_GB2312"/>
          <w:b/>
          <w:sz w:val="24"/>
        </w:rPr>
        <w:t>13.磋商保证金：无</w:t>
      </w:r>
    </w:p>
    <w:p>
      <w:pPr>
        <w:adjustRightInd w:val="0"/>
        <w:snapToGrid w:val="0"/>
        <w:spacing w:line="360" w:lineRule="auto"/>
        <w:jc w:val="left"/>
        <w:rPr>
          <w:rFonts w:ascii="宋体" w:hAnsi="宋体" w:cs="仿宋_GB2312"/>
          <w:sz w:val="24"/>
        </w:rPr>
      </w:pPr>
      <w:r>
        <w:rPr>
          <w:rFonts w:hint="eastAsia" w:ascii="宋体" w:hAnsi="宋体" w:cs="仿宋_GB2312"/>
          <w:sz w:val="24"/>
        </w:rPr>
        <w:t>13.1</w:t>
      </w:r>
      <w:r>
        <w:rPr>
          <w:rFonts w:hint="eastAsia" w:ascii="宋体" w:hAnsi="宋体"/>
          <w:sz w:val="24"/>
        </w:rPr>
        <w:t>根据《关于规范政府采购保证金管理建立预付款制度有关事项的通知》（大财采【2020】546号）的有关规定，本项目免收投标保证金。</w:t>
      </w:r>
    </w:p>
    <w:p>
      <w:pPr>
        <w:adjustRightInd w:val="0"/>
        <w:snapToGrid w:val="0"/>
        <w:spacing w:line="360" w:lineRule="auto"/>
        <w:jc w:val="left"/>
        <w:rPr>
          <w:rFonts w:ascii="宋体" w:hAnsi="宋体" w:cs="仿宋_GB2312"/>
          <w:sz w:val="24"/>
        </w:rPr>
      </w:pPr>
      <w:r>
        <w:rPr>
          <w:rFonts w:hint="eastAsia" w:ascii="宋体" w:hAnsi="宋体" w:cs="仿宋_GB2312"/>
          <w:sz w:val="24"/>
        </w:rPr>
        <w:t>13.2供应商存在下列情形的，采购人将报送政府采购监督管理部门，按相关规定进行处罚。</w:t>
      </w:r>
    </w:p>
    <w:p>
      <w:pPr>
        <w:adjustRightInd w:val="0"/>
        <w:snapToGrid w:val="0"/>
        <w:spacing w:line="360" w:lineRule="auto"/>
        <w:jc w:val="left"/>
        <w:rPr>
          <w:rFonts w:ascii="宋体" w:hAnsi="宋体" w:cs="仿宋_GB2312"/>
          <w:sz w:val="24"/>
        </w:rPr>
      </w:pPr>
      <w:r>
        <w:rPr>
          <w:rFonts w:hint="eastAsia" w:ascii="宋体" w:hAnsi="宋体" w:cs="仿宋_GB2312"/>
          <w:sz w:val="24"/>
        </w:rPr>
        <w:t>（1）供应商在提交响应文件截止时间后撤回响应文件的；</w:t>
      </w:r>
    </w:p>
    <w:p>
      <w:pPr>
        <w:adjustRightInd w:val="0"/>
        <w:snapToGrid w:val="0"/>
        <w:spacing w:line="360" w:lineRule="auto"/>
        <w:jc w:val="left"/>
        <w:rPr>
          <w:rFonts w:ascii="宋体" w:hAnsi="宋体" w:cs="仿宋_GB2312"/>
          <w:sz w:val="24"/>
        </w:rPr>
      </w:pPr>
      <w:r>
        <w:rPr>
          <w:rFonts w:hint="eastAsia" w:ascii="宋体" w:hAnsi="宋体" w:cs="仿宋_GB2312"/>
          <w:sz w:val="24"/>
        </w:rPr>
        <w:t>（2）供应商在响应文件中提供虚假材料的；</w:t>
      </w:r>
    </w:p>
    <w:p>
      <w:pPr>
        <w:adjustRightInd w:val="0"/>
        <w:snapToGrid w:val="0"/>
        <w:spacing w:line="360" w:lineRule="auto"/>
        <w:jc w:val="left"/>
        <w:rPr>
          <w:rFonts w:ascii="宋体" w:hAnsi="宋体" w:cs="仿宋_GB2312"/>
          <w:sz w:val="24"/>
        </w:rPr>
      </w:pPr>
      <w:r>
        <w:rPr>
          <w:rFonts w:hint="eastAsia" w:ascii="宋体" w:hAnsi="宋体" w:cs="仿宋_GB2312"/>
          <w:sz w:val="24"/>
        </w:rPr>
        <w:t>（3）</w:t>
      </w:r>
      <w:r>
        <w:rPr>
          <w:rFonts w:hint="eastAsia" w:ascii="宋体" w:hAnsi="宋体" w:cs="宋体"/>
          <w:sz w:val="24"/>
        </w:rPr>
        <w:t>成交人未能在规定期限内签订合同</w:t>
      </w:r>
      <w:r>
        <w:rPr>
          <w:rFonts w:hint="eastAsia" w:ascii="宋体" w:hAnsi="宋体" w:cs="仿宋_GB2312"/>
          <w:sz w:val="24"/>
        </w:rPr>
        <w:t>；</w:t>
      </w:r>
    </w:p>
    <w:p>
      <w:pPr>
        <w:adjustRightInd w:val="0"/>
        <w:snapToGrid w:val="0"/>
        <w:spacing w:line="360" w:lineRule="auto"/>
        <w:jc w:val="left"/>
        <w:rPr>
          <w:rFonts w:ascii="宋体" w:hAnsi="宋体" w:cs="仿宋_GB2312"/>
          <w:sz w:val="24"/>
        </w:rPr>
      </w:pPr>
      <w:r>
        <w:rPr>
          <w:rFonts w:hint="eastAsia" w:ascii="宋体" w:hAnsi="宋体" w:cs="仿宋_GB2312"/>
          <w:sz w:val="24"/>
        </w:rPr>
        <w:t>（4）成交后</w:t>
      </w:r>
      <w:r>
        <w:rPr>
          <w:rFonts w:hint="eastAsia" w:ascii="宋体" w:hAnsi="宋体" w:cs="宋体"/>
          <w:sz w:val="24"/>
        </w:rPr>
        <w:t>未能在规定期限递交</w:t>
      </w:r>
      <w:r>
        <w:rPr>
          <w:rFonts w:hint="eastAsia" w:ascii="宋体" w:hAnsi="宋体" w:cs="仿宋_GB2312"/>
          <w:sz w:val="24"/>
        </w:rPr>
        <w:t>提交履约保证金的；（如有）</w:t>
      </w:r>
    </w:p>
    <w:p>
      <w:pPr>
        <w:adjustRightInd w:val="0"/>
        <w:snapToGrid w:val="0"/>
        <w:spacing w:line="360" w:lineRule="auto"/>
        <w:jc w:val="left"/>
        <w:rPr>
          <w:rFonts w:ascii="宋体" w:hAnsi="宋体" w:cs="仿宋_GB2312"/>
          <w:sz w:val="24"/>
        </w:rPr>
      </w:pPr>
      <w:r>
        <w:rPr>
          <w:rFonts w:hint="eastAsia" w:ascii="宋体" w:hAnsi="宋体" w:cs="仿宋_GB2312"/>
          <w:sz w:val="24"/>
        </w:rPr>
        <w:t>（5）</w:t>
      </w:r>
      <w:r>
        <w:rPr>
          <w:rFonts w:hint="eastAsia" w:ascii="宋体" w:hAnsi="宋体" w:cs="宋体"/>
          <w:sz w:val="24"/>
        </w:rPr>
        <w:t>因成交人过错被废除成交结果的</w:t>
      </w:r>
      <w:r>
        <w:rPr>
          <w:rFonts w:hint="eastAsia" w:ascii="宋体" w:hAnsi="宋体" w:cs="仿宋_GB2312"/>
          <w:sz w:val="24"/>
        </w:rPr>
        <w:t>；</w:t>
      </w:r>
    </w:p>
    <w:p>
      <w:pPr>
        <w:adjustRightInd w:val="0"/>
        <w:snapToGrid w:val="0"/>
        <w:spacing w:line="360" w:lineRule="auto"/>
        <w:jc w:val="left"/>
        <w:rPr>
          <w:rFonts w:ascii="宋体" w:hAnsi="宋体" w:cs="仿宋_GB2312"/>
          <w:sz w:val="24"/>
        </w:rPr>
      </w:pPr>
      <w:r>
        <w:rPr>
          <w:rFonts w:hint="eastAsia" w:ascii="宋体" w:hAnsi="宋体" w:cs="仿宋_GB2312"/>
          <w:sz w:val="24"/>
        </w:rPr>
        <w:t>（6）</w:t>
      </w:r>
      <w:r>
        <w:rPr>
          <w:rFonts w:hint="eastAsia" w:ascii="宋体" w:hAnsi="宋体" w:cs="宋体"/>
          <w:sz w:val="24"/>
        </w:rPr>
        <w:t>法律法规规定其它损害采购人利益的情形</w:t>
      </w:r>
      <w:r>
        <w:rPr>
          <w:rFonts w:hint="eastAsia" w:ascii="宋体" w:hAnsi="宋体" w:cs="仿宋_GB2312"/>
          <w:sz w:val="24"/>
        </w:rPr>
        <w:t>；</w:t>
      </w:r>
    </w:p>
    <w:p>
      <w:pPr>
        <w:adjustRightInd w:val="0"/>
        <w:snapToGrid w:val="0"/>
        <w:spacing w:line="360" w:lineRule="auto"/>
        <w:jc w:val="left"/>
        <w:rPr>
          <w:rFonts w:ascii="宋体" w:hAnsi="宋体" w:cs="仿宋_GB2312"/>
          <w:sz w:val="24"/>
        </w:rPr>
      </w:pPr>
      <w:r>
        <w:rPr>
          <w:rFonts w:hint="eastAsia" w:ascii="宋体" w:hAnsi="宋体" w:cs="仿宋_GB2312"/>
          <w:sz w:val="24"/>
        </w:rPr>
        <w:t>（7）采购文件规定的其他保证金不予退还情形或存在其他违法违规行为的。</w:t>
      </w:r>
    </w:p>
    <w:p>
      <w:pPr>
        <w:adjustRightInd w:val="0"/>
        <w:snapToGrid w:val="0"/>
        <w:spacing w:line="360" w:lineRule="auto"/>
        <w:rPr>
          <w:rFonts w:ascii="宋体" w:hAnsi="宋体" w:cs="仿宋_GB2312"/>
          <w:b/>
          <w:sz w:val="24"/>
        </w:rPr>
      </w:pPr>
      <w:r>
        <w:rPr>
          <w:rFonts w:hint="eastAsia" w:ascii="宋体" w:hAnsi="宋体" w:cs="仿宋_GB2312"/>
          <w:b/>
          <w:sz w:val="24"/>
        </w:rPr>
        <w:t>14.证明响应标的的合格性和符合采购文件规定的技术文件</w:t>
      </w:r>
    </w:p>
    <w:p>
      <w:pPr>
        <w:adjustRightInd w:val="0"/>
        <w:snapToGrid w:val="0"/>
        <w:spacing w:line="360" w:lineRule="auto"/>
        <w:rPr>
          <w:rFonts w:ascii="宋体" w:hAnsi="宋体" w:cs="仿宋_GB2312"/>
          <w:sz w:val="24"/>
        </w:rPr>
      </w:pPr>
      <w:r>
        <w:rPr>
          <w:rFonts w:hint="eastAsia" w:ascii="宋体" w:hAnsi="宋体" w:cs="仿宋_GB2312"/>
          <w:sz w:val="24"/>
        </w:rPr>
        <w:t>14.供应商应提交证明文件，证明其响应内容符合采购文件规定。该证明文件是响应文件的一部分。</w:t>
      </w:r>
    </w:p>
    <w:p>
      <w:pPr>
        <w:adjustRightInd w:val="0"/>
        <w:snapToGrid w:val="0"/>
        <w:spacing w:line="360" w:lineRule="auto"/>
        <w:rPr>
          <w:rFonts w:ascii="宋体" w:hAnsi="宋体" w:cs="仿宋_GB2312"/>
          <w:sz w:val="24"/>
        </w:rPr>
      </w:pPr>
      <w:r>
        <w:rPr>
          <w:rFonts w:hint="eastAsia" w:ascii="宋体" w:hAnsi="宋体" w:cs="仿宋_GB2312"/>
          <w:sz w:val="24"/>
        </w:rPr>
        <w:t>14.2上款所述的证明文件，可以是文字资料、图纸和数据。</w:t>
      </w:r>
    </w:p>
    <w:p>
      <w:pPr>
        <w:adjustRightInd w:val="0"/>
        <w:snapToGrid w:val="0"/>
        <w:spacing w:line="360" w:lineRule="auto"/>
        <w:rPr>
          <w:rFonts w:ascii="宋体" w:hAnsi="宋体" w:cs="仿宋_GB2312"/>
          <w:b/>
          <w:sz w:val="24"/>
        </w:rPr>
      </w:pPr>
      <w:r>
        <w:rPr>
          <w:rFonts w:hint="eastAsia" w:ascii="宋体" w:hAnsi="宋体" w:cs="仿宋_GB2312"/>
          <w:b/>
          <w:sz w:val="24"/>
        </w:rPr>
        <w:t>15.响应有效期</w:t>
      </w:r>
    </w:p>
    <w:p>
      <w:pPr>
        <w:adjustRightInd w:val="0"/>
        <w:snapToGrid w:val="0"/>
        <w:spacing w:line="360" w:lineRule="auto"/>
        <w:rPr>
          <w:rFonts w:ascii="宋体" w:hAnsi="宋体" w:cs="仿宋_GB2312"/>
          <w:sz w:val="24"/>
        </w:rPr>
      </w:pPr>
      <w:r>
        <w:rPr>
          <w:rFonts w:hint="eastAsia" w:ascii="宋体" w:hAnsi="宋体" w:cs="仿宋_GB2312"/>
          <w:sz w:val="24"/>
        </w:rPr>
        <w:t>15.1响应应在供应商须知前附表中规定的响应有效期内保持有效。响应有效期不满足要求的响应，其响应文件将被认定为无效响应。</w:t>
      </w:r>
    </w:p>
    <w:p>
      <w:pPr>
        <w:jc w:val="center"/>
        <w:rPr>
          <w:rFonts w:ascii="宋体" w:hAnsi="宋体"/>
          <w:b/>
          <w:bCs/>
          <w:sz w:val="30"/>
          <w:szCs w:val="30"/>
        </w:rPr>
      </w:pPr>
      <w:r>
        <w:rPr>
          <w:rFonts w:hint="eastAsia" w:ascii="宋体" w:hAnsi="宋体"/>
          <w:b/>
          <w:bCs/>
          <w:sz w:val="30"/>
          <w:szCs w:val="30"/>
        </w:rPr>
        <w:t>四、响应文件的递交</w:t>
      </w:r>
    </w:p>
    <w:p>
      <w:pPr>
        <w:adjustRightInd w:val="0"/>
        <w:snapToGrid w:val="0"/>
        <w:spacing w:line="360" w:lineRule="auto"/>
        <w:rPr>
          <w:rFonts w:ascii="宋体" w:hAnsi="宋体" w:cs="仿宋_GB2312"/>
          <w:b/>
          <w:sz w:val="24"/>
        </w:rPr>
      </w:pPr>
      <w:r>
        <w:rPr>
          <w:rFonts w:hint="eastAsia" w:ascii="宋体" w:hAnsi="宋体" w:cs="仿宋_GB2312"/>
          <w:b/>
          <w:sz w:val="24"/>
        </w:rPr>
        <w:t>17.响应文件的密封和标记</w:t>
      </w:r>
    </w:p>
    <w:p>
      <w:pPr>
        <w:adjustRightInd w:val="0"/>
        <w:snapToGrid w:val="0"/>
        <w:spacing w:line="360" w:lineRule="auto"/>
        <w:rPr>
          <w:rFonts w:ascii="宋体" w:hAnsi="宋体" w:cs="仿宋_GB2312"/>
          <w:sz w:val="24"/>
        </w:rPr>
      </w:pPr>
      <w:r>
        <w:rPr>
          <w:rFonts w:hint="eastAsia" w:ascii="宋体" w:hAnsi="宋体" w:cs="仿宋_GB2312"/>
          <w:sz w:val="24"/>
        </w:rPr>
        <w:t>17.1</w:t>
      </w:r>
      <w:r>
        <w:rPr>
          <w:rFonts w:ascii="宋体" w:hAnsi="宋体" w:cs="仿宋_GB2312"/>
          <w:sz w:val="24"/>
        </w:rPr>
        <w:t>在线递交</w:t>
      </w:r>
      <w:r>
        <w:rPr>
          <w:rFonts w:hint="eastAsia" w:ascii="宋体" w:hAnsi="宋体" w:cs="仿宋_GB2312"/>
          <w:sz w:val="24"/>
        </w:rPr>
        <w:t>投标响应文件</w:t>
      </w:r>
      <w:r>
        <w:rPr>
          <w:rFonts w:ascii="宋体" w:hAnsi="宋体" w:cs="仿宋_GB2312"/>
          <w:sz w:val="24"/>
        </w:rPr>
        <w:t>。</w:t>
      </w:r>
      <w:r>
        <w:rPr>
          <w:rFonts w:hint="eastAsia" w:ascii="宋体" w:hAnsi="宋体" w:cs="宋体"/>
          <w:sz w:val="24"/>
        </w:rPr>
        <w:t>大连市政府采购云</w:t>
      </w:r>
      <w:r>
        <w:rPr>
          <w:rFonts w:hint="eastAsia" w:ascii="宋体" w:hAnsi="宋体" w:cs="仿宋_GB2312"/>
          <w:sz w:val="24"/>
        </w:rPr>
        <w:t>平台（</w:t>
      </w:r>
      <w:r>
        <w:rPr>
          <w:rFonts w:ascii="宋体" w:hAnsi="宋体" w:cs="仿宋_GB2312"/>
          <w:sz w:val="24"/>
        </w:rPr>
        <w:t>http://ccgp-dalian.gov.cn/</w:t>
      </w:r>
      <w:r>
        <w:rPr>
          <w:rFonts w:hint="eastAsia" w:ascii="宋体" w:hAnsi="宋体" w:cs="仿宋_GB2312"/>
          <w:sz w:val="24"/>
        </w:rPr>
        <w:t>）</w:t>
      </w:r>
    </w:p>
    <w:p>
      <w:pPr>
        <w:adjustRightInd w:val="0"/>
        <w:snapToGrid w:val="0"/>
        <w:spacing w:line="360" w:lineRule="auto"/>
        <w:jc w:val="left"/>
        <w:rPr>
          <w:rFonts w:ascii="宋体" w:hAnsi="宋体" w:cs="仿宋_GB2312"/>
          <w:sz w:val="24"/>
        </w:rPr>
      </w:pPr>
      <w:r>
        <w:rPr>
          <w:rFonts w:hint="eastAsia" w:ascii="宋体" w:hAnsi="宋体" w:cs="仿宋_GB2312"/>
          <w:sz w:val="24"/>
        </w:rPr>
        <w:t>17.2操作手册</w:t>
      </w:r>
      <w:r>
        <w:rPr>
          <w:rFonts w:ascii="宋体" w:hAnsi="宋体" w:cs="仿宋_GB2312"/>
          <w:sz w:val="24"/>
        </w:rPr>
        <w:t>https://helpcenter.zcygov.cn/document/#/document/detail?siteCode=dalian&amp;manualId=1707&amp;topicId=6821</w:t>
      </w:r>
    </w:p>
    <w:p>
      <w:pPr>
        <w:adjustRightInd w:val="0"/>
        <w:snapToGrid w:val="0"/>
        <w:spacing w:line="360" w:lineRule="auto"/>
        <w:rPr>
          <w:rFonts w:ascii="宋体" w:hAnsi="宋体" w:cs="仿宋_GB2312"/>
          <w:b/>
          <w:sz w:val="24"/>
        </w:rPr>
      </w:pPr>
      <w:r>
        <w:rPr>
          <w:rFonts w:hint="eastAsia" w:ascii="宋体" w:hAnsi="宋体" w:cs="仿宋_GB2312"/>
          <w:b/>
          <w:sz w:val="24"/>
        </w:rPr>
        <w:t>18.递交响应文件截止</w:t>
      </w:r>
    </w:p>
    <w:p>
      <w:pPr>
        <w:adjustRightInd w:val="0"/>
        <w:snapToGrid w:val="0"/>
        <w:spacing w:line="360" w:lineRule="auto"/>
        <w:rPr>
          <w:rFonts w:ascii="宋体" w:hAnsi="宋体" w:cs="仿宋_GB2312"/>
          <w:sz w:val="24"/>
        </w:rPr>
      </w:pPr>
      <w:r>
        <w:rPr>
          <w:rFonts w:hint="eastAsia" w:ascii="宋体" w:hAnsi="宋体" w:cs="仿宋_GB2312"/>
          <w:sz w:val="24"/>
        </w:rPr>
        <w:t>18.1供应商应在供应商须知前附表中规定的截止时间前，将响应文件递交到规定的地点。</w:t>
      </w:r>
    </w:p>
    <w:p>
      <w:pPr>
        <w:adjustRightInd w:val="0"/>
        <w:snapToGrid w:val="0"/>
        <w:spacing w:line="360" w:lineRule="auto"/>
        <w:rPr>
          <w:rFonts w:ascii="宋体" w:hAnsi="宋体" w:cs="仿宋_GB2312"/>
          <w:sz w:val="24"/>
        </w:rPr>
      </w:pPr>
      <w:r>
        <w:rPr>
          <w:rFonts w:hint="eastAsia" w:ascii="宋体" w:hAnsi="宋体" w:cs="仿宋_GB2312"/>
          <w:sz w:val="24"/>
        </w:rPr>
        <w:t>18.2采购人和采购代理机构有权按本须知的规定，延迟递交响应文件截止时间。在此情况下，采购人、采购代理机构和供应商受递交响应文件截止时间制约的所有权利和义务均应延长至新的截止时间。</w:t>
      </w:r>
    </w:p>
    <w:p>
      <w:pPr>
        <w:adjustRightInd w:val="0"/>
        <w:snapToGrid w:val="0"/>
        <w:spacing w:line="360" w:lineRule="auto"/>
        <w:rPr>
          <w:rFonts w:ascii="宋体" w:hAnsi="宋体" w:cs="仿宋_GB2312"/>
          <w:b/>
          <w:sz w:val="24"/>
        </w:rPr>
      </w:pPr>
      <w:r>
        <w:rPr>
          <w:rFonts w:hint="eastAsia" w:ascii="宋体" w:hAnsi="宋体" w:cs="仿宋_GB2312"/>
          <w:b/>
          <w:sz w:val="24"/>
        </w:rPr>
        <w:t>19.响应文件的接收、修改与撤回</w:t>
      </w:r>
    </w:p>
    <w:p>
      <w:pPr>
        <w:adjustRightInd w:val="0"/>
        <w:snapToGrid w:val="0"/>
        <w:spacing w:line="360" w:lineRule="auto"/>
        <w:rPr>
          <w:rFonts w:ascii="宋体" w:hAnsi="宋体" w:cs="仿宋_GB2312"/>
          <w:sz w:val="24"/>
        </w:rPr>
      </w:pPr>
      <w:r>
        <w:rPr>
          <w:rFonts w:hint="eastAsia" w:ascii="宋体" w:hAnsi="宋体" w:cs="仿宋_GB2312"/>
          <w:sz w:val="24"/>
        </w:rPr>
        <w:t>19.1在递交响应文件截止时间后送达的响应文件,采购人和采购代理机构将拒绝接收。</w:t>
      </w:r>
    </w:p>
    <w:p>
      <w:pPr>
        <w:adjustRightInd w:val="0"/>
        <w:snapToGrid w:val="0"/>
        <w:spacing w:line="360" w:lineRule="auto"/>
        <w:rPr>
          <w:rFonts w:ascii="宋体" w:hAnsi="宋体" w:cs="仿宋_GB2312"/>
          <w:sz w:val="24"/>
        </w:rPr>
      </w:pPr>
      <w:r>
        <w:rPr>
          <w:rFonts w:hint="eastAsia" w:ascii="宋体" w:hAnsi="宋体" w:cs="仿宋_GB2312"/>
          <w:sz w:val="24"/>
        </w:rPr>
        <w:t>19.2在提交响应文件截止时间之后，除需提交最后报价外，供应商不得对其响应文件做任何修改。</w:t>
      </w:r>
    </w:p>
    <w:p>
      <w:pPr>
        <w:jc w:val="center"/>
        <w:rPr>
          <w:rFonts w:ascii="宋体" w:hAnsi="宋体"/>
          <w:b/>
          <w:bCs/>
          <w:sz w:val="30"/>
          <w:szCs w:val="30"/>
        </w:rPr>
      </w:pPr>
      <w:r>
        <w:rPr>
          <w:rFonts w:hint="eastAsia" w:ascii="宋体" w:hAnsi="宋体"/>
          <w:b/>
          <w:bCs/>
          <w:sz w:val="30"/>
          <w:szCs w:val="30"/>
        </w:rPr>
        <w:t>五、磋商及评审</w:t>
      </w:r>
    </w:p>
    <w:p>
      <w:pPr>
        <w:adjustRightInd w:val="0"/>
        <w:snapToGrid w:val="0"/>
        <w:spacing w:line="360" w:lineRule="auto"/>
        <w:rPr>
          <w:rFonts w:ascii="宋体" w:hAnsi="宋体" w:cs="仿宋_GB2312"/>
          <w:b/>
          <w:sz w:val="24"/>
        </w:rPr>
      </w:pPr>
      <w:r>
        <w:rPr>
          <w:rFonts w:hint="eastAsia" w:ascii="宋体" w:hAnsi="宋体" w:cs="仿宋_GB2312"/>
          <w:b/>
          <w:sz w:val="24"/>
        </w:rPr>
        <w:t>20.磋商会议</w:t>
      </w:r>
    </w:p>
    <w:p>
      <w:pPr>
        <w:adjustRightInd w:val="0"/>
        <w:snapToGrid w:val="0"/>
        <w:spacing w:line="360" w:lineRule="auto"/>
        <w:rPr>
          <w:rFonts w:ascii="宋体" w:hAnsi="宋体" w:cs="仿宋_GB2312"/>
          <w:sz w:val="24"/>
        </w:rPr>
      </w:pPr>
      <w:r>
        <w:rPr>
          <w:rFonts w:hint="eastAsia" w:ascii="宋体" w:hAnsi="宋体" w:cs="仿宋_GB2312"/>
          <w:sz w:val="24"/>
        </w:rPr>
        <w:t>20.1采购人和采购代理机构将按供应商须知前附表中规定的时间和地点组织磋商会议。</w:t>
      </w:r>
    </w:p>
    <w:p>
      <w:pPr>
        <w:adjustRightInd w:val="0"/>
        <w:snapToGrid w:val="0"/>
        <w:spacing w:line="360" w:lineRule="auto"/>
        <w:rPr>
          <w:rFonts w:ascii="宋体" w:hAnsi="宋体" w:cs="仿宋_GB2312"/>
          <w:b/>
          <w:sz w:val="24"/>
        </w:rPr>
      </w:pPr>
      <w:r>
        <w:rPr>
          <w:rFonts w:hint="eastAsia" w:ascii="宋体" w:hAnsi="宋体" w:cs="仿宋_GB2312"/>
          <w:b/>
          <w:sz w:val="24"/>
        </w:rPr>
        <w:t>21.组建磋商小组</w:t>
      </w:r>
    </w:p>
    <w:p>
      <w:pPr>
        <w:adjustRightInd w:val="0"/>
        <w:snapToGrid w:val="0"/>
        <w:spacing w:line="360" w:lineRule="auto"/>
        <w:rPr>
          <w:rFonts w:ascii="宋体" w:hAnsi="宋体" w:cs="仿宋_GB2312"/>
          <w:sz w:val="24"/>
        </w:rPr>
      </w:pPr>
      <w:r>
        <w:rPr>
          <w:rFonts w:hint="eastAsia" w:ascii="宋体" w:hAnsi="宋体" w:cs="仿宋_GB2312"/>
          <w:sz w:val="24"/>
        </w:rPr>
        <w:t>21.1按照《政府采购竞争性磋商采购方式管理暂行办法》有关规定依法组建磋商小组，负责本项目评审工作。</w:t>
      </w:r>
    </w:p>
    <w:p>
      <w:pPr>
        <w:adjustRightInd w:val="0"/>
        <w:snapToGrid w:val="0"/>
        <w:spacing w:line="360" w:lineRule="auto"/>
        <w:rPr>
          <w:rFonts w:ascii="宋体" w:hAnsi="宋体" w:cs="仿宋_GB2312"/>
          <w:sz w:val="24"/>
        </w:rPr>
      </w:pPr>
      <w:r>
        <w:rPr>
          <w:rFonts w:hint="eastAsia" w:ascii="宋体" w:hAnsi="宋体" w:cs="仿宋_GB2312"/>
          <w:sz w:val="24"/>
        </w:rPr>
        <w:t>21.2</w:t>
      </w:r>
      <w:r>
        <w:rPr>
          <w:rFonts w:hint="eastAsia" w:ascii="宋体" w:hAnsi="宋体" w:cs="宋体"/>
          <w:bCs/>
          <w:sz w:val="24"/>
        </w:rPr>
        <w:t>磋商小组由有关技术等专家组成，其中评审专家人数不得少于磋商小组成员总数的2/3。</w:t>
      </w:r>
    </w:p>
    <w:p>
      <w:pPr>
        <w:adjustRightInd w:val="0"/>
        <w:snapToGrid w:val="0"/>
        <w:spacing w:line="360" w:lineRule="auto"/>
        <w:rPr>
          <w:rFonts w:ascii="宋体" w:hAnsi="宋体" w:cs="仿宋_GB2312"/>
          <w:b/>
          <w:sz w:val="24"/>
        </w:rPr>
      </w:pPr>
      <w:r>
        <w:rPr>
          <w:rFonts w:hint="eastAsia" w:ascii="宋体" w:hAnsi="宋体" w:cs="仿宋_GB2312"/>
          <w:b/>
          <w:sz w:val="24"/>
        </w:rPr>
        <w:t>22.资格及符合性审查</w:t>
      </w:r>
    </w:p>
    <w:p>
      <w:pPr>
        <w:adjustRightInd w:val="0"/>
        <w:snapToGrid w:val="0"/>
        <w:spacing w:line="360" w:lineRule="auto"/>
        <w:rPr>
          <w:rFonts w:ascii="宋体" w:hAnsi="宋体" w:cs="仿宋_GB2312"/>
          <w:sz w:val="24"/>
          <w:shd w:val="clear" w:color="auto" w:fill="FFFFFF"/>
        </w:rPr>
      </w:pPr>
      <w:r>
        <w:rPr>
          <w:rFonts w:hint="eastAsia" w:ascii="宋体" w:hAnsi="宋体" w:cs="仿宋_GB2312"/>
          <w:sz w:val="24"/>
        </w:rPr>
        <w:t>22.1磋商小组依据法律法规和采购文件中规定的内容，对供应商的资格（提交的资格证明材料）及符合性进行审查。未通过资格及符合性审查的供应商不能进入下一阶段评审。</w:t>
      </w:r>
    </w:p>
    <w:p>
      <w:pPr>
        <w:adjustRightInd w:val="0"/>
        <w:snapToGrid w:val="0"/>
        <w:spacing w:line="360" w:lineRule="auto"/>
        <w:rPr>
          <w:rFonts w:ascii="宋体" w:hAnsi="宋体" w:cs="仿宋_GB2312"/>
          <w:sz w:val="24"/>
        </w:rPr>
      </w:pPr>
      <w:r>
        <w:rPr>
          <w:rFonts w:hint="eastAsia" w:ascii="宋体" w:hAnsi="宋体" w:cs="仿宋_GB2312"/>
          <w:sz w:val="24"/>
          <w:shd w:val="clear" w:color="auto" w:fill="FFFFFF"/>
        </w:rPr>
        <w:t>22.2</w:t>
      </w:r>
      <w:r>
        <w:rPr>
          <w:rFonts w:hint="eastAsia" w:ascii="宋体" w:hAnsi="宋体" w:cs="仿宋_GB2312"/>
          <w:sz w:val="24"/>
        </w:rPr>
        <w:t>采购人或采购代理机构将在递交响应文件截止时间同时查询供应商的信用记录。供应商存在不良信用记录的，其响应将被认定为无效响应。</w:t>
      </w:r>
    </w:p>
    <w:p>
      <w:pPr>
        <w:adjustRightInd w:val="0"/>
        <w:snapToGrid w:val="0"/>
        <w:spacing w:line="360" w:lineRule="auto"/>
        <w:rPr>
          <w:rFonts w:ascii="宋体" w:hAnsi="宋体" w:cs="仿宋_GB2312"/>
          <w:sz w:val="24"/>
        </w:rPr>
      </w:pPr>
      <w:r>
        <w:rPr>
          <w:rFonts w:hint="eastAsia" w:ascii="宋体" w:hAnsi="宋体" w:cs="仿宋_GB2312"/>
          <w:sz w:val="24"/>
          <w:shd w:val="clear" w:color="auto" w:fill="FFFFFF"/>
        </w:rPr>
        <w:t>22.2.1</w:t>
      </w:r>
      <w:r>
        <w:rPr>
          <w:rFonts w:hint="eastAsia" w:ascii="宋体" w:hAnsi="宋体" w:cs="仿宋_GB2312"/>
          <w:sz w:val="24"/>
        </w:rPr>
        <w:t>不良信用记录指：经“信用中国”网站（www.creditchina.gov.cn）、“信用辽宁”网站（www.lncredit.gov.cn）失信黑名单、“信用大连”（credit.dl.cn）大连市重大税收违法案件信息公示平台、“中国政府采购网”网站（www.ccgp.gov.cn）政府采购严重违法失信行为信息记录，被列入失信被执行人、重大税收违法失信主体、政府采购严重违法失信行为记录名单的不得参加本采购项目。</w:t>
      </w:r>
    </w:p>
    <w:p>
      <w:pPr>
        <w:adjustRightInd w:val="0"/>
        <w:snapToGrid w:val="0"/>
        <w:spacing w:line="360" w:lineRule="auto"/>
        <w:ind w:firstLine="480" w:firstLineChars="200"/>
        <w:rPr>
          <w:rFonts w:ascii="宋体" w:hAnsi="宋体" w:cs="仿宋_GB2312"/>
          <w:sz w:val="24"/>
          <w:shd w:val="clear" w:color="auto" w:fill="FFFFFF"/>
        </w:rPr>
      </w:pPr>
      <w:r>
        <w:rPr>
          <w:rFonts w:hint="eastAsia" w:ascii="宋体" w:hAnsi="宋体" w:cs="仿宋_GB2312"/>
          <w:sz w:val="24"/>
        </w:rPr>
        <w:t>以</w:t>
      </w:r>
      <w:r>
        <w:rPr>
          <w:rFonts w:hint="eastAsia" w:ascii="宋体" w:hAnsi="宋体" w:cs="仿宋_GB2312"/>
          <w:sz w:val="24"/>
          <w:shd w:val="clear" w:color="auto" w:fill="FFFFFF"/>
        </w:rPr>
        <w:t>联合体形式参加政府采购活动的，联合体任何成员存在以上不良信用记录的，联合体响应文件将被认定为</w:t>
      </w:r>
      <w:r>
        <w:rPr>
          <w:rFonts w:hint="eastAsia" w:ascii="宋体" w:hAnsi="宋体" w:cs="仿宋_GB2312"/>
          <w:bCs/>
          <w:sz w:val="24"/>
          <w:shd w:val="clear" w:color="auto" w:fill="FFFFFF"/>
        </w:rPr>
        <w:t>无效响应</w:t>
      </w:r>
      <w:r>
        <w:rPr>
          <w:rFonts w:hint="eastAsia" w:ascii="宋体" w:hAnsi="宋体" w:cs="仿宋_GB2312"/>
          <w:sz w:val="24"/>
          <w:shd w:val="clear" w:color="auto" w:fill="FFFFFF"/>
        </w:rPr>
        <w:t>。</w:t>
      </w:r>
    </w:p>
    <w:p>
      <w:pPr>
        <w:adjustRightInd w:val="0"/>
        <w:snapToGrid w:val="0"/>
        <w:spacing w:line="360" w:lineRule="auto"/>
        <w:rPr>
          <w:rFonts w:ascii="宋体" w:hAnsi="宋体" w:cs="仿宋_GB2312"/>
          <w:sz w:val="24"/>
          <w:shd w:val="clear" w:color="auto" w:fill="FFFFFF"/>
        </w:rPr>
      </w:pPr>
      <w:r>
        <w:rPr>
          <w:rFonts w:hint="eastAsia" w:ascii="宋体" w:hAnsi="宋体" w:cs="仿宋_GB2312"/>
          <w:sz w:val="24"/>
        </w:rPr>
        <w:t>22.2.2</w:t>
      </w:r>
      <w:r>
        <w:rPr>
          <w:rFonts w:hint="eastAsia" w:ascii="宋体" w:hAnsi="宋体" w:cs="仿宋_GB2312"/>
          <w:sz w:val="24"/>
          <w:shd w:val="clear" w:color="auto" w:fill="FFFFFF"/>
        </w:rPr>
        <w:t>查询及记录方式：采购代理机构经办人将查询网页打印并存档备查。供应商不良信用记录以采购人或采购代理机构查询结果为准。</w:t>
      </w:r>
    </w:p>
    <w:p>
      <w:pPr>
        <w:adjustRightInd w:val="0"/>
        <w:snapToGrid w:val="0"/>
        <w:spacing w:line="360" w:lineRule="auto"/>
        <w:ind w:firstLine="480" w:firstLineChars="200"/>
        <w:rPr>
          <w:rFonts w:ascii="宋体" w:hAnsi="宋体" w:cs="仿宋_GB2312"/>
          <w:sz w:val="24"/>
          <w:shd w:val="clear" w:color="auto" w:fill="FFFFFF"/>
        </w:rPr>
      </w:pPr>
      <w:r>
        <w:rPr>
          <w:rFonts w:hint="eastAsia" w:ascii="宋体" w:hAnsi="宋体" w:cs="仿宋_GB2312"/>
          <w:sz w:val="24"/>
          <w:shd w:val="clear" w:color="auto" w:fill="FFFFFF"/>
        </w:rPr>
        <w:t>在本采购文件规定的查询时间之后，网站信息发生的任何变更均不再作为评审依据。</w:t>
      </w:r>
    </w:p>
    <w:p>
      <w:pPr>
        <w:adjustRightInd w:val="0"/>
        <w:snapToGrid w:val="0"/>
        <w:spacing w:line="360" w:lineRule="auto"/>
        <w:ind w:firstLine="480" w:firstLineChars="200"/>
        <w:rPr>
          <w:rFonts w:ascii="宋体" w:hAnsi="宋体" w:cs="仿宋_GB2312"/>
          <w:sz w:val="24"/>
          <w:shd w:val="clear" w:color="auto" w:fill="FFFFFF"/>
        </w:rPr>
      </w:pPr>
      <w:r>
        <w:rPr>
          <w:rFonts w:hint="eastAsia" w:ascii="宋体" w:hAnsi="宋体" w:cs="仿宋_GB2312"/>
          <w:sz w:val="24"/>
          <w:shd w:val="clear" w:color="auto" w:fill="FFFFFF"/>
        </w:rPr>
        <w:t>供应商在自行提供的与网站信息不一致的其他证明材料亦不作为资格审查依据。</w:t>
      </w:r>
    </w:p>
    <w:p>
      <w:pPr>
        <w:adjustRightInd w:val="0"/>
        <w:snapToGrid w:val="0"/>
        <w:spacing w:line="360" w:lineRule="auto"/>
        <w:rPr>
          <w:rFonts w:ascii="宋体" w:hAnsi="宋体" w:cs="仿宋_GB2312"/>
          <w:b/>
          <w:sz w:val="24"/>
        </w:rPr>
      </w:pPr>
      <w:r>
        <w:rPr>
          <w:rFonts w:hint="eastAsia" w:ascii="宋体" w:hAnsi="宋体" w:cs="仿宋_GB2312"/>
          <w:b/>
          <w:sz w:val="24"/>
        </w:rPr>
        <w:t>23.响应文件的澄清</w:t>
      </w:r>
    </w:p>
    <w:p>
      <w:pPr>
        <w:adjustRightInd w:val="0"/>
        <w:snapToGrid w:val="0"/>
        <w:spacing w:line="360" w:lineRule="auto"/>
        <w:rPr>
          <w:rFonts w:ascii="宋体" w:hAnsi="宋体" w:cs="仿宋_GB2312"/>
          <w:sz w:val="24"/>
        </w:rPr>
      </w:pPr>
      <w:r>
        <w:rPr>
          <w:rFonts w:hint="eastAsia" w:ascii="宋体" w:hAnsi="宋体" w:cs="仿宋_GB2312"/>
          <w:sz w:val="24"/>
        </w:rPr>
        <w:t>23.1</w:t>
      </w:r>
      <w:r>
        <w:rPr>
          <w:rFonts w:hint="eastAsia" w:ascii="宋体" w:hAnsi="宋体" w:cs="仿宋_GB2312"/>
          <w:sz w:val="24"/>
          <w:shd w:val="clear" w:color="auto" w:fill="FFFFFF"/>
        </w:rPr>
        <w:t>在磋商期间，磋商小组可以书面要求供应商对其响应文件中含义不明确、同类问题表述不一致或者有明显文字和计算错误的内容</w:t>
      </w:r>
      <w:r>
        <w:rPr>
          <w:rFonts w:hint="eastAsia" w:ascii="宋体" w:hAnsi="宋体" w:cs="仿宋_GB2312"/>
          <w:sz w:val="24"/>
        </w:rPr>
        <w:t>作必要的澄清、说明或补正。供应商的澄清、说明或补正应在磋商小组规定的时间内以书面方式进行，并不得超出响应文件范围或者改变响应文件的实质性内容。供应商拒不进行澄清、说明、补正的，或者不能在规定时间内作出书面澄清、说明、补正的，其响应文件将被作为无效响应处理。</w:t>
      </w:r>
    </w:p>
    <w:p>
      <w:pPr>
        <w:adjustRightInd w:val="0"/>
        <w:snapToGrid w:val="0"/>
        <w:spacing w:line="360" w:lineRule="auto"/>
        <w:rPr>
          <w:rFonts w:ascii="宋体" w:hAnsi="宋体" w:cs="仿宋_GB2312"/>
          <w:sz w:val="24"/>
        </w:rPr>
      </w:pPr>
      <w:r>
        <w:rPr>
          <w:rFonts w:hint="eastAsia" w:ascii="宋体" w:hAnsi="宋体" w:cs="仿宋_GB2312"/>
          <w:sz w:val="24"/>
        </w:rPr>
        <w:t>23.1.1供应商的澄清、说明或者补正应当由法定代表人（或非法人组织负责人）或其授权代表签字或者加盖公章。供应商为自然人的，应当由本人签字并附身份证明。</w:t>
      </w:r>
    </w:p>
    <w:p>
      <w:pPr>
        <w:adjustRightInd w:val="0"/>
        <w:snapToGrid w:val="0"/>
        <w:spacing w:line="360" w:lineRule="auto"/>
        <w:rPr>
          <w:rFonts w:ascii="宋体" w:hAnsi="宋体" w:cs="仿宋_GB2312"/>
          <w:sz w:val="24"/>
        </w:rPr>
      </w:pPr>
      <w:r>
        <w:rPr>
          <w:rFonts w:hint="eastAsia" w:ascii="宋体" w:hAnsi="宋体" w:cs="仿宋_GB2312"/>
          <w:sz w:val="24"/>
        </w:rPr>
        <w:t>23.1.2供应商的澄清、说明或补正将作为响应文件的一部分。</w:t>
      </w:r>
    </w:p>
    <w:p>
      <w:pPr>
        <w:adjustRightInd w:val="0"/>
        <w:snapToGrid w:val="0"/>
        <w:spacing w:line="360" w:lineRule="auto"/>
        <w:rPr>
          <w:rFonts w:ascii="宋体" w:hAnsi="宋体" w:cs="仿宋_GB2312"/>
          <w:sz w:val="24"/>
        </w:rPr>
      </w:pPr>
      <w:r>
        <w:rPr>
          <w:rFonts w:hint="eastAsia" w:ascii="宋体" w:hAnsi="宋体" w:cs="仿宋_GB2312"/>
          <w:sz w:val="24"/>
        </w:rPr>
        <w:t>23.2响应文件报价出现前后不一致的，按照下列规定修正：</w:t>
      </w:r>
    </w:p>
    <w:p>
      <w:pPr>
        <w:adjustRightInd w:val="0"/>
        <w:snapToGrid w:val="0"/>
        <w:spacing w:line="360" w:lineRule="auto"/>
        <w:rPr>
          <w:rFonts w:ascii="宋体" w:hAnsi="宋体" w:cs="仿宋_GB2312"/>
          <w:sz w:val="24"/>
        </w:rPr>
      </w:pPr>
      <w:r>
        <w:rPr>
          <w:rFonts w:hint="eastAsia" w:ascii="宋体" w:hAnsi="宋体" w:cs="仿宋_GB2312"/>
          <w:sz w:val="24"/>
        </w:rPr>
        <w:t>（1）响应文件中报价一览表内容与响应文件中相应内容不一致的，以报价一览表为准；</w:t>
      </w:r>
    </w:p>
    <w:p>
      <w:pPr>
        <w:adjustRightInd w:val="0"/>
        <w:snapToGrid w:val="0"/>
        <w:spacing w:line="360" w:lineRule="auto"/>
        <w:rPr>
          <w:rFonts w:ascii="宋体" w:hAnsi="宋体" w:cs="仿宋_GB2312"/>
          <w:sz w:val="24"/>
        </w:rPr>
      </w:pPr>
      <w:r>
        <w:rPr>
          <w:rFonts w:hint="eastAsia" w:ascii="宋体" w:hAnsi="宋体" w:cs="仿宋_GB2312"/>
          <w:sz w:val="24"/>
        </w:rPr>
        <w:t>（2）大写金额和小写金额不一致的，以大写金额为准；</w:t>
      </w:r>
    </w:p>
    <w:p>
      <w:pPr>
        <w:adjustRightInd w:val="0"/>
        <w:snapToGrid w:val="0"/>
        <w:spacing w:line="360" w:lineRule="auto"/>
        <w:rPr>
          <w:rFonts w:ascii="宋体" w:hAnsi="宋体" w:cs="仿宋_GB2312"/>
          <w:sz w:val="24"/>
        </w:rPr>
      </w:pPr>
      <w:r>
        <w:rPr>
          <w:rFonts w:hint="eastAsia" w:ascii="宋体" w:hAnsi="宋体" w:cs="仿宋_GB2312"/>
          <w:sz w:val="24"/>
        </w:rPr>
        <w:t>（3）单价金额小数点或者百分比有明显错位的，以报价一览表的总价为准，并修改单价；</w:t>
      </w:r>
    </w:p>
    <w:p>
      <w:pPr>
        <w:adjustRightInd w:val="0"/>
        <w:snapToGrid w:val="0"/>
        <w:spacing w:line="360" w:lineRule="auto"/>
        <w:rPr>
          <w:rFonts w:ascii="宋体" w:hAnsi="宋体" w:cs="仿宋_GB2312"/>
          <w:sz w:val="24"/>
        </w:rPr>
      </w:pPr>
      <w:r>
        <w:rPr>
          <w:rFonts w:hint="eastAsia" w:ascii="宋体" w:hAnsi="宋体" w:cs="仿宋_GB2312"/>
          <w:sz w:val="24"/>
        </w:rPr>
        <w:t>（4）总价金额与按单价汇总金额不一致的，以单价金额计算结果为准。</w:t>
      </w:r>
    </w:p>
    <w:p>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同时出现两种以上不一致的，按照前款规定的顺序修正。修正后的报价经供应商确认后产生约束力，供应商不确认的，其响应文件将被认定为无效响应。</w:t>
      </w:r>
    </w:p>
    <w:p>
      <w:pPr>
        <w:adjustRightInd w:val="0"/>
        <w:snapToGrid w:val="0"/>
        <w:spacing w:line="360" w:lineRule="auto"/>
        <w:rPr>
          <w:rFonts w:ascii="宋体" w:hAnsi="宋体" w:cs="仿宋_GB2312"/>
          <w:sz w:val="24"/>
        </w:rPr>
      </w:pPr>
      <w:r>
        <w:rPr>
          <w:rFonts w:hint="eastAsia" w:ascii="宋体" w:hAnsi="宋体" w:cs="仿宋_GB2312"/>
          <w:sz w:val="24"/>
        </w:rPr>
        <w:t>23.3</w:t>
      </w:r>
      <w:r>
        <w:rPr>
          <w:rFonts w:hint="eastAsia" w:ascii="宋体" w:hAnsi="宋体" w:cs="仿宋_GB2312"/>
          <w:bCs/>
          <w:sz w:val="24"/>
        </w:rPr>
        <w:t>磋商小组认为</w:t>
      </w:r>
      <w:r>
        <w:rPr>
          <w:rFonts w:hint="eastAsia" w:ascii="宋体" w:hAnsi="宋体" w:cs="仿宋_GB2312"/>
          <w:sz w:val="24"/>
        </w:rPr>
        <w:t>供应商的最后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无效响应处理。提交证明材料的合理时间按第五章 评审办法规定执行。</w:t>
      </w:r>
    </w:p>
    <w:p>
      <w:pPr>
        <w:adjustRightInd w:val="0"/>
        <w:snapToGrid w:val="0"/>
        <w:spacing w:line="360" w:lineRule="auto"/>
        <w:rPr>
          <w:rFonts w:ascii="宋体" w:hAnsi="宋体" w:cs="仿宋_GB2312"/>
          <w:b/>
          <w:sz w:val="24"/>
        </w:rPr>
      </w:pPr>
      <w:r>
        <w:rPr>
          <w:rFonts w:hint="eastAsia" w:ascii="宋体" w:hAnsi="宋体" w:cs="仿宋_GB2312"/>
          <w:b/>
          <w:sz w:val="24"/>
        </w:rPr>
        <w:t>24.磋商</w:t>
      </w:r>
    </w:p>
    <w:p>
      <w:pPr>
        <w:adjustRightInd w:val="0"/>
        <w:snapToGrid w:val="0"/>
        <w:spacing w:line="360" w:lineRule="auto"/>
        <w:rPr>
          <w:rFonts w:ascii="宋体" w:hAnsi="宋体" w:cs="仿宋_GB2312"/>
          <w:sz w:val="24"/>
        </w:rPr>
      </w:pPr>
      <w:r>
        <w:rPr>
          <w:rFonts w:hint="eastAsia" w:ascii="宋体" w:hAnsi="宋体" w:cs="仿宋_GB2312"/>
          <w:sz w:val="24"/>
        </w:rPr>
        <w:t>24.1磋商小组将集中根据采购文件规定的程序、评定成交的标准等事项与实质性响应采购文件要求的供应商分别进行磋商。在磋商中，磋商的任何一方不得透露与磋商有关的其他供应商的技术资料、价格和其他信息。</w:t>
      </w:r>
    </w:p>
    <w:p>
      <w:pPr>
        <w:adjustRightInd w:val="0"/>
        <w:snapToGrid w:val="0"/>
        <w:spacing w:line="360" w:lineRule="auto"/>
        <w:rPr>
          <w:rFonts w:ascii="宋体" w:hAnsi="宋体" w:cs="仿宋_GB2312"/>
          <w:sz w:val="24"/>
        </w:rPr>
      </w:pPr>
      <w:r>
        <w:rPr>
          <w:rFonts w:hint="eastAsia" w:ascii="宋体" w:hAnsi="宋体" w:cs="仿宋_GB2312"/>
          <w:sz w:val="24"/>
        </w:rPr>
        <w:t>24.2在磋商过程中，磋商小组可以根据采购文件和磋商情况，经采购人代表确认后变动采购需求中的技术、服务要求以及合同草案条例等实质性内容。</w:t>
      </w:r>
    </w:p>
    <w:p>
      <w:pPr>
        <w:adjustRightInd w:val="0"/>
        <w:snapToGrid w:val="0"/>
        <w:spacing w:line="360" w:lineRule="auto"/>
        <w:rPr>
          <w:rFonts w:ascii="宋体" w:hAnsi="宋体" w:cs="仿宋_GB2312"/>
          <w:sz w:val="24"/>
        </w:rPr>
      </w:pPr>
      <w:r>
        <w:rPr>
          <w:rFonts w:hint="eastAsia" w:ascii="宋体" w:hAnsi="宋体" w:cs="仿宋_GB2312"/>
          <w:sz w:val="24"/>
        </w:rPr>
        <w:t>24.3对采购文件作出实质性变动是采购文件的有效组成部分，磋商小组将以书面形式同时通知所有参加磋商的供应商。</w:t>
      </w:r>
    </w:p>
    <w:p>
      <w:pPr>
        <w:adjustRightInd w:val="0"/>
        <w:snapToGrid w:val="0"/>
        <w:spacing w:line="360" w:lineRule="auto"/>
        <w:rPr>
          <w:rFonts w:ascii="宋体" w:hAnsi="宋体" w:cs="仿宋_GB2312"/>
          <w:sz w:val="24"/>
        </w:rPr>
      </w:pPr>
      <w:r>
        <w:rPr>
          <w:rFonts w:hint="eastAsia" w:ascii="宋体" w:hAnsi="宋体" w:cs="仿宋_GB2312"/>
          <w:sz w:val="24"/>
        </w:rPr>
        <w:t>24.4供应商应当按照采购文件的变动情况和磋商小组的要求重新提交响应文件，并由其法定代表人或授权代表签字或者加盖公章。由授权代表签字的，应当附法定代表人（或非法人组织负责人）授权书。供应商为自然人的，应当由本人签字并附身份证明。</w:t>
      </w:r>
    </w:p>
    <w:p>
      <w:pPr>
        <w:adjustRightInd w:val="0"/>
        <w:snapToGrid w:val="0"/>
        <w:spacing w:line="360" w:lineRule="auto"/>
        <w:rPr>
          <w:rFonts w:ascii="宋体" w:hAnsi="宋体" w:cs="仿宋_GB2312"/>
          <w:b/>
          <w:sz w:val="24"/>
        </w:rPr>
      </w:pPr>
      <w:r>
        <w:rPr>
          <w:rFonts w:hint="eastAsia" w:ascii="宋体" w:hAnsi="宋体" w:cs="仿宋_GB2312"/>
          <w:b/>
          <w:sz w:val="24"/>
        </w:rPr>
        <w:t>25.最后报价</w:t>
      </w:r>
    </w:p>
    <w:p>
      <w:pPr>
        <w:adjustRightInd w:val="0"/>
        <w:snapToGrid w:val="0"/>
        <w:spacing w:line="360" w:lineRule="auto"/>
        <w:rPr>
          <w:rFonts w:ascii="宋体" w:hAnsi="宋体" w:cs="仿宋_GB2312"/>
          <w:sz w:val="24"/>
        </w:rPr>
      </w:pPr>
      <w:r>
        <w:rPr>
          <w:rFonts w:hint="eastAsia" w:ascii="宋体" w:hAnsi="宋体" w:cs="仿宋_GB2312"/>
          <w:sz w:val="24"/>
        </w:rPr>
        <w:t>25.1磋商结束后，磋商小组将要求所有实质性响应的供应商在规定时间内提交最后报价。</w:t>
      </w:r>
    </w:p>
    <w:p>
      <w:pPr>
        <w:adjustRightInd w:val="0"/>
        <w:snapToGrid w:val="0"/>
        <w:spacing w:line="360" w:lineRule="auto"/>
        <w:rPr>
          <w:rFonts w:ascii="宋体" w:hAnsi="宋体" w:cs="仿宋_GB2312"/>
          <w:sz w:val="24"/>
        </w:rPr>
      </w:pPr>
      <w:r>
        <w:rPr>
          <w:rFonts w:hint="eastAsia" w:ascii="宋体" w:hAnsi="宋体" w:cs="仿宋_GB2312"/>
          <w:sz w:val="24"/>
        </w:rPr>
        <w:t>25.2最后报价是供应商响应文件的有效组成部分。</w:t>
      </w:r>
    </w:p>
    <w:p>
      <w:pPr>
        <w:adjustRightInd w:val="0"/>
        <w:snapToGrid w:val="0"/>
        <w:spacing w:line="360" w:lineRule="auto"/>
        <w:rPr>
          <w:rFonts w:ascii="宋体" w:hAnsi="宋体" w:cs="仿宋_GB2312"/>
          <w:sz w:val="24"/>
        </w:rPr>
      </w:pPr>
      <w:r>
        <w:rPr>
          <w:rFonts w:hint="eastAsia" w:ascii="宋体" w:hAnsi="宋体" w:cs="仿宋_GB2312"/>
          <w:sz w:val="24"/>
        </w:rPr>
        <w:t>25.3已提交响应文件的供应商，在提交最后报价之前，可以根据磋商情况退出磋商，退出磋商不视为撤回响应文件，退出磋商不影响退出磋商的供应商对已经递交的响应文件承担法律、法规和采购文件中规定的相应责任。</w:t>
      </w:r>
    </w:p>
    <w:p>
      <w:pPr>
        <w:adjustRightInd w:val="0"/>
        <w:snapToGrid w:val="0"/>
        <w:spacing w:line="360" w:lineRule="auto"/>
        <w:rPr>
          <w:rFonts w:ascii="宋体" w:hAnsi="宋体" w:cs="仿宋_GB2312"/>
          <w:sz w:val="24"/>
        </w:rPr>
      </w:pPr>
      <w:r>
        <w:rPr>
          <w:rFonts w:hint="eastAsia" w:ascii="宋体" w:hAnsi="宋体" w:cs="仿宋_GB2312"/>
          <w:sz w:val="24"/>
        </w:rPr>
        <w:t>25.4本项目最终报价将采用电子竞价的形式</w:t>
      </w:r>
    </w:p>
    <w:p>
      <w:pPr>
        <w:adjustRightInd w:val="0"/>
        <w:snapToGrid w:val="0"/>
        <w:spacing w:line="360" w:lineRule="auto"/>
        <w:jc w:val="left"/>
        <w:rPr>
          <w:rFonts w:ascii="宋体" w:hAnsi="宋体" w:cs="仿宋_GB2312"/>
          <w:sz w:val="24"/>
        </w:rPr>
      </w:pPr>
      <w:r>
        <w:rPr>
          <w:rFonts w:hint="eastAsia" w:ascii="宋体" w:hAnsi="宋体" w:cs="仿宋_GB2312"/>
          <w:sz w:val="24"/>
        </w:rPr>
        <w:t>25.5本项目最终报价将采用电子竞价的形式，操作流程详见操作手册（网址：</w:t>
      </w:r>
      <w:r>
        <w:rPr>
          <w:rFonts w:ascii="宋体" w:hAnsi="宋体" w:cs="仿宋_GB2312"/>
          <w:sz w:val="24"/>
        </w:rPr>
        <w:t>https://helpcenter.zcygov.cn/document/#/document/detail?siteCode=dalian&amp;manualId=1707&amp;topicId=6821</w:t>
      </w:r>
      <w:r>
        <w:rPr>
          <w:rFonts w:hint="eastAsia" w:ascii="宋体" w:hAnsi="宋体" w:cs="仿宋_GB2312"/>
          <w:sz w:val="24"/>
        </w:rPr>
        <w:t>）</w:t>
      </w:r>
    </w:p>
    <w:p>
      <w:pPr>
        <w:adjustRightInd w:val="0"/>
        <w:snapToGrid w:val="0"/>
        <w:spacing w:line="360" w:lineRule="auto"/>
        <w:rPr>
          <w:rFonts w:ascii="宋体" w:hAnsi="宋体" w:cs="仿宋_GB2312"/>
          <w:b/>
          <w:sz w:val="24"/>
        </w:rPr>
      </w:pPr>
      <w:r>
        <w:rPr>
          <w:rFonts w:hint="eastAsia" w:ascii="宋体" w:hAnsi="宋体" w:cs="仿宋_GB2312"/>
          <w:b/>
          <w:sz w:val="24"/>
        </w:rPr>
        <w:t>26.响应无效</w:t>
      </w:r>
    </w:p>
    <w:p>
      <w:pPr>
        <w:adjustRightInd w:val="0"/>
        <w:snapToGrid w:val="0"/>
        <w:spacing w:line="360" w:lineRule="auto"/>
        <w:rPr>
          <w:rFonts w:ascii="宋体" w:hAnsi="宋体" w:cs="仿宋_GB2312"/>
          <w:sz w:val="24"/>
        </w:rPr>
      </w:pPr>
      <w:r>
        <w:rPr>
          <w:rFonts w:hint="eastAsia" w:ascii="宋体" w:hAnsi="宋体" w:cs="仿宋_GB2312"/>
          <w:sz w:val="24"/>
        </w:rPr>
        <w:t>26.1 在比较与评价之前，根据本须知的规定，磋商小组将审查每份响应文件是否实质上响应了采购文件的要求。</w:t>
      </w:r>
    </w:p>
    <w:p>
      <w:pPr>
        <w:adjustRightInd w:val="0"/>
        <w:snapToGrid w:val="0"/>
        <w:spacing w:line="360" w:lineRule="auto"/>
        <w:ind w:firstLine="480" w:firstLineChars="200"/>
        <w:rPr>
          <w:rFonts w:ascii="宋体" w:hAnsi="宋体" w:cs="仿宋_GB2312"/>
          <w:kern w:val="0"/>
          <w:sz w:val="24"/>
        </w:rPr>
      </w:pPr>
      <w:r>
        <w:rPr>
          <w:rFonts w:hint="eastAsia" w:ascii="宋体" w:hAnsi="宋体" w:cs="仿宋_GB2312"/>
          <w:kern w:val="0"/>
          <w:sz w:val="24"/>
        </w:rPr>
        <w:t>实质性要求是指采购文件中带有★号标识内容（包括本级及其下级编号中所有内容）等文字说明的要求。</w:t>
      </w:r>
    </w:p>
    <w:p>
      <w:pPr>
        <w:adjustRightInd w:val="0"/>
        <w:snapToGrid w:val="0"/>
        <w:spacing w:line="360" w:lineRule="auto"/>
        <w:ind w:firstLine="480" w:firstLineChars="200"/>
        <w:rPr>
          <w:rFonts w:ascii="宋体" w:hAnsi="宋体" w:cs="仿宋_GB2312"/>
          <w:sz w:val="24"/>
        </w:rPr>
      </w:pPr>
      <w:r>
        <w:rPr>
          <w:rFonts w:hint="eastAsia" w:ascii="宋体" w:hAnsi="宋体" w:cs="仿宋_GB2312"/>
          <w:kern w:val="0"/>
          <w:sz w:val="24"/>
        </w:rPr>
        <w:t>对采购文件的实质性要求进行响应是指与采购文件中带有★号标识内容的文字说明、条款、条件和规格等要求相符。</w:t>
      </w:r>
    </w:p>
    <w:p>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如果响应文件没有对采购文件的实质性要求进行响应，将作为无效响应处理，供应商不得再对响应文件进行任何修正从而使其响应成为实质上响应。</w:t>
      </w:r>
    </w:p>
    <w:p>
      <w:pPr>
        <w:adjustRightInd w:val="0"/>
        <w:snapToGrid w:val="0"/>
        <w:spacing w:line="360" w:lineRule="auto"/>
        <w:ind w:firstLine="480" w:firstLineChars="200"/>
        <w:rPr>
          <w:rFonts w:ascii="宋体" w:hAnsi="宋体" w:cs="仿宋_GB2312"/>
          <w:sz w:val="24"/>
        </w:rPr>
      </w:pPr>
      <w:r>
        <w:rPr>
          <w:rFonts w:hint="eastAsia" w:ascii="宋体" w:hAnsi="宋体" w:cs="仿宋_GB2312"/>
          <w:sz w:val="24"/>
        </w:rPr>
        <w:t>磋商小组决定是否实质性响应只根据采购文件要求、响应文件内容及财政主管部门指定媒体发布的相关信息。</w:t>
      </w:r>
    </w:p>
    <w:p>
      <w:pPr>
        <w:adjustRightInd w:val="0"/>
        <w:snapToGrid w:val="0"/>
        <w:spacing w:line="360" w:lineRule="auto"/>
        <w:rPr>
          <w:rFonts w:ascii="宋体" w:hAnsi="宋体" w:cs="仿宋_GB2312"/>
          <w:sz w:val="24"/>
        </w:rPr>
      </w:pPr>
      <w:r>
        <w:rPr>
          <w:rFonts w:hint="eastAsia" w:ascii="宋体" w:hAnsi="宋体" w:cs="仿宋_GB2312"/>
          <w:sz w:val="24"/>
        </w:rPr>
        <w:t>26.2如发现下列情况之一的，其响应文件将被认定为无效响应：</w:t>
      </w:r>
    </w:p>
    <w:p>
      <w:pPr>
        <w:adjustRightInd w:val="0"/>
        <w:snapToGrid w:val="0"/>
        <w:spacing w:line="360" w:lineRule="auto"/>
        <w:rPr>
          <w:rFonts w:ascii="宋体" w:hAnsi="宋体" w:cs="仿宋_GB2312"/>
          <w:sz w:val="24"/>
        </w:rPr>
      </w:pPr>
      <w:r>
        <w:rPr>
          <w:rFonts w:hint="eastAsia" w:ascii="宋体" w:hAnsi="宋体" w:cs="仿宋_GB2312"/>
          <w:sz w:val="24"/>
        </w:rPr>
        <w:t>（1）未按照采购文件规定要求签署、盖章的；</w:t>
      </w:r>
    </w:p>
    <w:p>
      <w:pPr>
        <w:adjustRightInd w:val="0"/>
        <w:snapToGrid w:val="0"/>
        <w:spacing w:line="360" w:lineRule="auto"/>
        <w:rPr>
          <w:rFonts w:ascii="宋体" w:hAnsi="宋体" w:cs="仿宋_GB2312"/>
          <w:sz w:val="24"/>
        </w:rPr>
      </w:pPr>
      <w:r>
        <w:rPr>
          <w:rFonts w:hint="eastAsia" w:ascii="宋体" w:hAnsi="宋体" w:cs="仿宋_GB2312"/>
          <w:sz w:val="24"/>
        </w:rPr>
        <w:t>（2）供应商的报价超过了采购文件中规定的预算金额或者最高限价的；</w:t>
      </w:r>
    </w:p>
    <w:p>
      <w:pPr>
        <w:adjustRightInd w:val="0"/>
        <w:snapToGrid w:val="0"/>
        <w:spacing w:line="360" w:lineRule="auto"/>
        <w:rPr>
          <w:rFonts w:ascii="宋体" w:hAnsi="宋体" w:cs="仿宋_GB2312"/>
          <w:sz w:val="24"/>
        </w:rPr>
      </w:pPr>
      <w:r>
        <w:rPr>
          <w:rFonts w:hint="eastAsia" w:ascii="宋体" w:hAnsi="宋体" w:cs="仿宋_GB2312"/>
          <w:sz w:val="24"/>
        </w:rPr>
        <w:t>（3）不具备采购文件中规定的资格要求的；</w:t>
      </w:r>
    </w:p>
    <w:p>
      <w:pPr>
        <w:adjustRightInd w:val="0"/>
        <w:snapToGrid w:val="0"/>
        <w:spacing w:line="360" w:lineRule="auto"/>
        <w:rPr>
          <w:rFonts w:ascii="宋体" w:hAnsi="宋体" w:cs="仿宋_GB2312"/>
          <w:sz w:val="24"/>
        </w:rPr>
      </w:pPr>
      <w:r>
        <w:rPr>
          <w:rFonts w:hint="eastAsia" w:ascii="宋体" w:hAnsi="宋体" w:cs="仿宋_GB2312"/>
          <w:sz w:val="24"/>
        </w:rPr>
        <w:t>（4）不符合法律、法规和采购文件中规定的实质性要求的。</w:t>
      </w:r>
    </w:p>
    <w:p>
      <w:pPr>
        <w:adjustRightInd w:val="0"/>
        <w:snapToGrid w:val="0"/>
        <w:spacing w:line="360" w:lineRule="auto"/>
        <w:rPr>
          <w:rFonts w:ascii="宋体" w:hAnsi="宋体" w:cs="仿宋_GB2312"/>
          <w:sz w:val="24"/>
        </w:rPr>
      </w:pPr>
      <w:r>
        <w:rPr>
          <w:rFonts w:hint="eastAsia" w:ascii="宋体" w:hAnsi="宋体" w:cs="仿宋_GB2312"/>
          <w:sz w:val="24"/>
        </w:rPr>
        <w:t>（5）磋商小组认为供应商的报价明显低于其他通过符合性审查供应商的报价，有可能影响履约的，且供应商未按照规定证明其报价合理性的；</w:t>
      </w:r>
    </w:p>
    <w:p>
      <w:pPr>
        <w:adjustRightInd w:val="0"/>
        <w:snapToGrid w:val="0"/>
        <w:spacing w:line="360" w:lineRule="auto"/>
        <w:rPr>
          <w:rFonts w:ascii="宋体" w:hAnsi="宋体" w:cs="仿宋_GB2312"/>
          <w:sz w:val="24"/>
        </w:rPr>
      </w:pPr>
      <w:r>
        <w:rPr>
          <w:rFonts w:hint="eastAsia" w:ascii="宋体" w:hAnsi="宋体" w:cs="仿宋_GB2312"/>
          <w:sz w:val="24"/>
        </w:rPr>
        <w:t>（6）响应文件含有采购人不能接受的附加条件的；</w:t>
      </w:r>
    </w:p>
    <w:p>
      <w:pPr>
        <w:adjustRightInd w:val="0"/>
        <w:snapToGrid w:val="0"/>
        <w:spacing w:line="360" w:lineRule="auto"/>
        <w:rPr>
          <w:rFonts w:ascii="宋体" w:hAnsi="宋体" w:cs="仿宋_GB2312"/>
          <w:sz w:val="24"/>
        </w:rPr>
      </w:pPr>
      <w:r>
        <w:rPr>
          <w:rFonts w:hint="eastAsia" w:ascii="宋体" w:hAnsi="宋体" w:cs="仿宋_GB2312"/>
          <w:sz w:val="24"/>
        </w:rPr>
        <w:t>（7）属于法律、法规和采购文件中规定的其他无效响应情形的。</w:t>
      </w:r>
    </w:p>
    <w:p>
      <w:pPr>
        <w:adjustRightInd w:val="0"/>
        <w:snapToGrid w:val="0"/>
        <w:spacing w:line="360" w:lineRule="auto"/>
        <w:rPr>
          <w:rFonts w:ascii="宋体" w:hAnsi="宋体" w:cs="仿宋_GB2312"/>
          <w:b/>
          <w:sz w:val="24"/>
        </w:rPr>
      </w:pPr>
      <w:r>
        <w:rPr>
          <w:rFonts w:hint="eastAsia" w:ascii="宋体" w:hAnsi="宋体" w:cs="仿宋_GB2312"/>
          <w:b/>
          <w:sz w:val="24"/>
        </w:rPr>
        <w:t>27.比较与评价</w:t>
      </w:r>
    </w:p>
    <w:p>
      <w:pPr>
        <w:adjustRightInd w:val="0"/>
        <w:snapToGrid w:val="0"/>
        <w:spacing w:line="360" w:lineRule="auto"/>
        <w:rPr>
          <w:rFonts w:ascii="宋体" w:hAnsi="宋体" w:cs="仿宋_GB2312"/>
          <w:sz w:val="24"/>
        </w:rPr>
      </w:pPr>
      <w:r>
        <w:rPr>
          <w:rFonts w:hint="eastAsia" w:ascii="宋体" w:hAnsi="宋体" w:cs="仿宋_GB2312"/>
          <w:sz w:val="24"/>
        </w:rPr>
        <w:t>27.1经资格及符合性审查合格的响应文件，磋商小组将根据采购确定的评审办法，对其技术部分和商务部分作进一步的比较和评价。</w:t>
      </w:r>
    </w:p>
    <w:p>
      <w:pPr>
        <w:adjustRightInd w:val="0"/>
        <w:snapToGrid w:val="0"/>
        <w:spacing w:line="360" w:lineRule="auto"/>
        <w:rPr>
          <w:rFonts w:ascii="宋体" w:hAnsi="宋体" w:cs="仿宋_GB2312"/>
          <w:sz w:val="24"/>
        </w:rPr>
      </w:pPr>
      <w:r>
        <w:rPr>
          <w:rFonts w:hint="eastAsia" w:ascii="宋体" w:hAnsi="宋体" w:cs="仿宋_GB2312"/>
          <w:sz w:val="24"/>
        </w:rPr>
        <w:t>27.2评审严格按照采购文件的要求和条件进行，按综合评分法进行评审，详细评审标准见评审方法。</w:t>
      </w:r>
    </w:p>
    <w:p>
      <w:pPr>
        <w:adjustRightInd w:val="0"/>
        <w:snapToGrid w:val="0"/>
        <w:spacing w:line="360" w:lineRule="auto"/>
        <w:rPr>
          <w:rFonts w:ascii="宋体" w:hAnsi="宋体" w:cs="仿宋_GB2312"/>
          <w:sz w:val="24"/>
        </w:rPr>
      </w:pPr>
      <w:r>
        <w:rPr>
          <w:rFonts w:hint="eastAsia" w:ascii="宋体" w:hAnsi="宋体" w:cs="仿宋_GB2312"/>
          <w:sz w:val="24"/>
        </w:rPr>
        <w:t>综合评分法，是指响应文件满足采购文件全部实质性要求且按评审因素的量化指标评审得分最高的供应商为成交候选供应商的评审方法。</w:t>
      </w:r>
    </w:p>
    <w:p>
      <w:pPr>
        <w:adjustRightInd w:val="0"/>
        <w:snapToGrid w:val="0"/>
        <w:spacing w:line="360" w:lineRule="auto"/>
        <w:rPr>
          <w:rFonts w:ascii="宋体" w:hAnsi="宋体" w:cs="仿宋_GB2312"/>
          <w:b/>
          <w:sz w:val="24"/>
        </w:rPr>
      </w:pPr>
      <w:r>
        <w:rPr>
          <w:rFonts w:hint="eastAsia" w:ascii="宋体" w:hAnsi="宋体" w:cs="仿宋_GB2312"/>
          <w:b/>
          <w:sz w:val="24"/>
        </w:rPr>
        <w:t>28.促进</w:t>
      </w:r>
      <w:r>
        <w:rPr>
          <w:rFonts w:ascii="宋体" w:hAnsi="宋体" w:cs="仿宋_GB2312"/>
          <w:b/>
          <w:sz w:val="24"/>
        </w:rPr>
        <w:t>中小企业</w:t>
      </w:r>
      <w:r>
        <w:rPr>
          <w:rFonts w:hint="eastAsia" w:ascii="宋体" w:hAnsi="宋体" w:cs="仿宋_GB2312"/>
          <w:b/>
          <w:sz w:val="24"/>
        </w:rPr>
        <w:t>发展</w:t>
      </w:r>
    </w:p>
    <w:p>
      <w:pPr>
        <w:adjustRightInd w:val="0"/>
        <w:snapToGrid w:val="0"/>
        <w:spacing w:line="360" w:lineRule="auto"/>
        <w:rPr>
          <w:rFonts w:ascii="宋体" w:hAnsi="宋体" w:cs="仿宋_GB2312"/>
          <w:sz w:val="24"/>
        </w:rPr>
      </w:pPr>
      <w:r>
        <w:rPr>
          <w:rFonts w:hint="eastAsia" w:ascii="宋体" w:hAnsi="宋体"/>
          <w:sz w:val="24"/>
        </w:rPr>
        <w:t>根据财政部《政府采购促进中小企业发展管理办法》（财库[2020]46号）《大连市财政局关于落实政府采购支持中小企业发展政策的通知》规定，符合条件的中小企业，享受政府采购扶持政策。</w:t>
      </w:r>
    </w:p>
    <w:p>
      <w:pPr>
        <w:adjustRightInd w:val="0"/>
        <w:snapToGrid w:val="0"/>
        <w:spacing w:line="360" w:lineRule="auto"/>
        <w:rPr>
          <w:rFonts w:ascii="宋体" w:hAnsi="宋体" w:cs="仿宋_GB2312"/>
          <w:sz w:val="24"/>
        </w:rPr>
      </w:pPr>
      <w:r>
        <w:rPr>
          <w:rFonts w:hint="eastAsia" w:ascii="宋体" w:hAnsi="宋体" w:cs="仿宋_GB2312"/>
          <w:sz w:val="24"/>
        </w:rPr>
        <w:t>在政府采购活动中，供应商提供的货物、工程或者服务符合下列情形的，享受本办法规定的中小企业扶持政策：</w:t>
      </w:r>
    </w:p>
    <w:p>
      <w:pPr>
        <w:adjustRightInd w:val="0"/>
        <w:snapToGrid w:val="0"/>
        <w:spacing w:line="360" w:lineRule="auto"/>
        <w:rPr>
          <w:rFonts w:ascii="宋体" w:hAnsi="宋体" w:cs="仿宋_GB2312"/>
          <w:sz w:val="24"/>
        </w:rPr>
      </w:pPr>
      <w:r>
        <w:rPr>
          <w:rFonts w:hint="eastAsia" w:ascii="宋体" w:hAnsi="宋体" w:cs="仿宋_GB2312"/>
          <w:sz w:val="24"/>
        </w:rPr>
        <w:t xml:space="preserve"> （1）在货物采购项目中，货物由中小企业制造，即货物由中小企业生产且使用该中小企业商号或者注册商标；</w:t>
      </w:r>
    </w:p>
    <w:p>
      <w:pPr>
        <w:adjustRightInd w:val="0"/>
        <w:snapToGrid w:val="0"/>
        <w:spacing w:line="360" w:lineRule="auto"/>
        <w:rPr>
          <w:rFonts w:ascii="宋体" w:hAnsi="宋体" w:cs="仿宋_GB2312"/>
          <w:sz w:val="24"/>
        </w:rPr>
      </w:pPr>
      <w:r>
        <w:rPr>
          <w:rFonts w:hint="eastAsia" w:ascii="宋体" w:hAnsi="宋体" w:cs="仿宋_GB2312"/>
          <w:sz w:val="24"/>
        </w:rPr>
        <w:t xml:space="preserve"> （2）在工程采购项目中，工程由中小企业承建，即工程施工单位为中小企业；</w:t>
      </w:r>
    </w:p>
    <w:p>
      <w:pPr>
        <w:adjustRightInd w:val="0"/>
        <w:snapToGrid w:val="0"/>
        <w:spacing w:line="360" w:lineRule="auto"/>
        <w:rPr>
          <w:rFonts w:ascii="宋体" w:hAnsi="宋体" w:cs="仿宋_GB2312"/>
          <w:sz w:val="24"/>
        </w:rPr>
      </w:pPr>
      <w:r>
        <w:rPr>
          <w:rFonts w:hint="eastAsia" w:ascii="宋体" w:hAnsi="宋体" w:cs="仿宋_GB2312"/>
          <w:sz w:val="24"/>
        </w:rPr>
        <w:t xml:space="preserve"> （3）在服务采购项目中，服务由中小企业承接，即提供服务的人员为中小企业依照《中华人民共和国劳动合同法》订立劳动合同的从业人员。</w:t>
      </w:r>
    </w:p>
    <w:p>
      <w:pPr>
        <w:adjustRightInd w:val="0"/>
        <w:snapToGrid w:val="0"/>
        <w:spacing w:line="360" w:lineRule="auto"/>
        <w:rPr>
          <w:rFonts w:ascii="宋体" w:hAnsi="宋体" w:cs="仿宋_GB2312"/>
          <w:sz w:val="24"/>
        </w:rPr>
      </w:pPr>
      <w:r>
        <w:rPr>
          <w:rFonts w:hint="eastAsia" w:ascii="宋体" w:hAnsi="宋体" w:cs="仿宋_GB2312"/>
          <w:sz w:val="24"/>
        </w:rPr>
        <w:t>1.在货物采购项目中，供应商提供的货物既有中小企业制造货物，也有大型企业制造货物的，不享受本办法规定的中小企业扶持政策。</w:t>
      </w:r>
    </w:p>
    <w:p>
      <w:pPr>
        <w:adjustRightInd w:val="0"/>
        <w:snapToGrid w:val="0"/>
        <w:spacing w:line="360" w:lineRule="auto"/>
        <w:rPr>
          <w:rFonts w:ascii="宋体" w:hAnsi="宋体" w:cs="仿宋_GB2312"/>
          <w:sz w:val="24"/>
        </w:rPr>
      </w:pPr>
      <w:r>
        <w:rPr>
          <w:rFonts w:hint="eastAsia" w:ascii="宋体" w:hAnsi="宋体" w:cs="仿宋_GB2312"/>
          <w:sz w:val="24"/>
        </w:rPr>
        <w:t>2.中小企业：符合工信部联企业[2011]300号文件《关于印发中小企业划型标准规定的通知》中小企业划型标准规定的企业。中小企业包括中型企业、小型企业和微型企业，但与大企业的负责人为同一人，或者与大企业存在直接控股、管理关系的除外。符合中小企业划分标准的个体工商户，在政府采购活动中视同中小企业。</w:t>
      </w:r>
    </w:p>
    <w:p>
      <w:pPr>
        <w:adjustRightInd w:val="0"/>
        <w:snapToGrid w:val="0"/>
        <w:spacing w:line="360" w:lineRule="auto"/>
        <w:rPr>
          <w:rFonts w:ascii="宋体" w:hAnsi="宋体" w:cs="仿宋_GB2312"/>
          <w:sz w:val="24"/>
        </w:rPr>
      </w:pPr>
      <w:r>
        <w:rPr>
          <w:rFonts w:hint="eastAsia" w:ascii="宋体" w:hAnsi="宋体" w:cs="仿宋_GB2312"/>
          <w:sz w:val="24"/>
        </w:rPr>
        <w:t>3.中小企业参加政府采购活动，应当出具《中小企业声明函》，否则不得享受相关中小企业扶持政策。中小企业对其声明内容的真实性负责，声明函内容不实的，属于提供虚假材料谋取中标、成交，依照《中华人民共和国政府采购法》等国家有关规定追究相应责任。</w:t>
      </w:r>
    </w:p>
    <w:p>
      <w:pPr>
        <w:adjustRightInd w:val="0"/>
        <w:snapToGrid w:val="0"/>
        <w:spacing w:line="360" w:lineRule="auto"/>
        <w:rPr>
          <w:rFonts w:ascii="宋体" w:hAnsi="宋体" w:cs="仿宋_GB2312"/>
          <w:sz w:val="24"/>
        </w:rPr>
      </w:pPr>
      <w:r>
        <w:rPr>
          <w:rFonts w:hint="eastAsia" w:ascii="宋体" w:hAnsi="宋体" w:cs="仿宋_GB2312"/>
          <w:sz w:val="24"/>
        </w:rPr>
        <w:t>4.采购人、招标代理机构应当对符合规定的小微企业报价给予10%的扣除，用扣除后的价格参加评审。</w:t>
      </w:r>
    </w:p>
    <w:p>
      <w:pPr>
        <w:adjustRightInd w:val="0"/>
        <w:snapToGrid w:val="0"/>
        <w:spacing w:line="360" w:lineRule="auto"/>
        <w:rPr>
          <w:rFonts w:ascii="宋体" w:hAnsi="宋体" w:cs="仿宋_GB2312"/>
          <w:sz w:val="24"/>
        </w:rPr>
      </w:pPr>
      <w:r>
        <w:rPr>
          <w:rFonts w:hint="eastAsia" w:ascii="宋体" w:hAnsi="宋体" w:cs="仿宋_GB2312"/>
          <w:sz w:val="24"/>
        </w:rPr>
        <w:t>5.中标、成交投标人享受本办法规定的中小企业扶持政策的，采购人、招标代理机构应当随中标、成交结果公开中标、成交投标人的《中小企业声明函》。</w:t>
      </w:r>
    </w:p>
    <w:p>
      <w:pPr>
        <w:adjustRightInd w:val="0"/>
        <w:snapToGrid w:val="0"/>
        <w:spacing w:line="360" w:lineRule="auto"/>
        <w:rPr>
          <w:rFonts w:ascii="宋体" w:hAnsi="宋体" w:cs="仿宋_GB2312"/>
          <w:sz w:val="24"/>
        </w:rPr>
      </w:pPr>
      <w:r>
        <w:rPr>
          <w:rFonts w:hint="eastAsia" w:ascii="宋体" w:hAnsi="宋体" w:cs="仿宋_GB2312"/>
          <w:sz w:val="24"/>
        </w:rPr>
        <w:t>6.依据本办法规定享受扶持政策获得政府采购合同的，小微企业不得将合同分包给大中型企业，中型企业不得将合同分包给大型企业。</w:t>
      </w:r>
    </w:p>
    <w:p>
      <w:pPr>
        <w:adjustRightInd w:val="0"/>
        <w:snapToGrid w:val="0"/>
        <w:spacing w:line="360" w:lineRule="auto"/>
        <w:rPr>
          <w:rFonts w:ascii="宋体" w:hAnsi="宋体" w:cs="仿宋_GB2312"/>
          <w:sz w:val="24"/>
        </w:rPr>
      </w:pPr>
      <w:r>
        <w:rPr>
          <w:rFonts w:hint="eastAsia" w:ascii="宋体" w:hAnsi="宋体" w:cs="仿宋_GB2312"/>
          <w:sz w:val="24"/>
        </w:rPr>
        <w:t>7.小微企业签订的政府采购合同，履约保证金支付比例为合同金额的5%。（本项目不采用）</w:t>
      </w:r>
    </w:p>
    <w:p>
      <w:pPr>
        <w:adjustRightInd w:val="0"/>
        <w:snapToGrid w:val="0"/>
        <w:spacing w:line="360" w:lineRule="auto"/>
        <w:rPr>
          <w:rFonts w:ascii="宋体" w:hAnsi="宋体" w:cs="仿宋_GB2312"/>
          <w:b/>
          <w:sz w:val="24"/>
        </w:rPr>
      </w:pPr>
      <w:r>
        <w:rPr>
          <w:rFonts w:hint="eastAsia" w:ascii="宋体" w:hAnsi="宋体" w:cs="仿宋_GB2312"/>
          <w:b/>
          <w:sz w:val="24"/>
        </w:rPr>
        <w:t>29.支持监狱企业发展</w:t>
      </w:r>
    </w:p>
    <w:p>
      <w:pPr>
        <w:adjustRightInd w:val="0"/>
        <w:snapToGrid w:val="0"/>
        <w:spacing w:line="360" w:lineRule="auto"/>
        <w:rPr>
          <w:rFonts w:ascii="宋体" w:hAnsi="宋体" w:cs="仿宋_GB2312"/>
          <w:sz w:val="24"/>
        </w:rPr>
      </w:pPr>
      <w:r>
        <w:rPr>
          <w:rFonts w:hint="eastAsia" w:ascii="宋体" w:hAnsi="宋体" w:cs="仿宋_GB2312"/>
          <w:sz w:val="24"/>
        </w:rPr>
        <w:t>根据财库[2014]68号《财政部司法部关于政府采购支持监狱企业发展有关问题的通知》规定，符合条件的监狱企业，享受政府采购扶持政策。</w:t>
      </w:r>
    </w:p>
    <w:p>
      <w:pPr>
        <w:adjustRightInd w:val="0"/>
        <w:snapToGrid w:val="0"/>
        <w:spacing w:line="360" w:lineRule="auto"/>
        <w:rPr>
          <w:rFonts w:ascii="宋体" w:hAnsi="宋体" w:cs="仿宋_GB2312"/>
          <w:sz w:val="24"/>
        </w:rPr>
      </w:pPr>
      <w:r>
        <w:rPr>
          <w:rFonts w:hint="eastAsia" w:ascii="宋体" w:hAnsi="宋体" w:cs="仿宋_GB2312"/>
          <w:sz w:val="24"/>
        </w:rPr>
        <w:t>1.享受政府采购支持的监狱企业，应当同时符合以下条件：</w:t>
      </w:r>
    </w:p>
    <w:p>
      <w:pPr>
        <w:adjustRightInd w:val="0"/>
        <w:snapToGrid w:val="0"/>
        <w:spacing w:line="360" w:lineRule="auto"/>
        <w:rPr>
          <w:rFonts w:ascii="宋体" w:hAnsi="宋体" w:cs="仿宋_GB2312"/>
          <w:sz w:val="24"/>
        </w:rPr>
      </w:pPr>
      <w:r>
        <w:rPr>
          <w:rFonts w:hint="eastAsia" w:ascii="宋体" w:hAnsi="宋体" w:cs="仿宋_GB2312"/>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adjustRightInd w:val="0"/>
        <w:snapToGrid w:val="0"/>
        <w:spacing w:line="360" w:lineRule="auto"/>
        <w:rPr>
          <w:rFonts w:ascii="宋体" w:hAnsi="宋体" w:cs="仿宋_GB2312"/>
          <w:sz w:val="24"/>
        </w:rPr>
      </w:pPr>
      <w:r>
        <w:rPr>
          <w:rFonts w:hint="eastAsia" w:ascii="宋体" w:hAnsi="宋体" w:cs="仿宋_GB2312"/>
          <w:sz w:val="24"/>
        </w:rPr>
        <w:t>2.投标人投标产品是监狱企业制造的，并符合条件的，其产品报价给予10％的扣除，用扣除后的价格参与投标报价计算。</w:t>
      </w:r>
    </w:p>
    <w:p>
      <w:pPr>
        <w:adjustRightInd w:val="0"/>
        <w:snapToGrid w:val="0"/>
        <w:spacing w:line="360" w:lineRule="auto"/>
        <w:rPr>
          <w:rFonts w:ascii="宋体" w:hAnsi="宋体" w:cs="仿宋_GB2312"/>
          <w:sz w:val="24"/>
        </w:rPr>
      </w:pPr>
      <w:r>
        <w:rPr>
          <w:rFonts w:hint="eastAsia" w:ascii="宋体" w:hAnsi="宋体" w:cs="仿宋_GB2312"/>
          <w:sz w:val="24"/>
        </w:rPr>
        <w:t>3.监狱企业同时属于小型、微型企业的，其享受的价格扣除比例取小微企业扣除率和监狱企业扣除率中的较大值。</w:t>
      </w:r>
    </w:p>
    <w:p>
      <w:pPr>
        <w:adjustRightInd w:val="0"/>
        <w:snapToGrid w:val="0"/>
        <w:spacing w:line="360" w:lineRule="auto"/>
        <w:rPr>
          <w:rFonts w:ascii="宋体" w:hAnsi="宋体" w:cs="仿宋_GB2312"/>
          <w:b/>
          <w:sz w:val="24"/>
        </w:rPr>
      </w:pPr>
      <w:r>
        <w:rPr>
          <w:rFonts w:hint="eastAsia" w:ascii="宋体" w:hAnsi="宋体" w:cs="仿宋_GB2312"/>
          <w:b/>
          <w:sz w:val="24"/>
        </w:rPr>
        <w:t>30.扶持残疾人福利性单位发展</w:t>
      </w:r>
    </w:p>
    <w:p>
      <w:pPr>
        <w:adjustRightInd w:val="0"/>
        <w:snapToGrid w:val="0"/>
        <w:spacing w:line="360" w:lineRule="auto"/>
        <w:rPr>
          <w:rFonts w:ascii="宋体" w:hAnsi="宋体" w:cs="仿宋_GB2312"/>
          <w:sz w:val="24"/>
        </w:rPr>
      </w:pPr>
      <w:r>
        <w:rPr>
          <w:rFonts w:hint="eastAsia" w:ascii="宋体" w:hAnsi="宋体" w:cs="仿宋_GB2312"/>
          <w:sz w:val="24"/>
        </w:rPr>
        <w:t>根据财库〔2017〕141号《财政部民政部中国残疾人联合会关于促进残疾人就业政府采购政策的通知》规定，符合条件的残疾人福利性单位，享受政府采购扶持政策。</w:t>
      </w:r>
    </w:p>
    <w:p>
      <w:pPr>
        <w:adjustRightInd w:val="0"/>
        <w:snapToGrid w:val="0"/>
        <w:spacing w:line="360" w:lineRule="auto"/>
        <w:rPr>
          <w:rFonts w:ascii="宋体" w:hAnsi="宋体" w:cs="仿宋_GB2312"/>
          <w:sz w:val="24"/>
        </w:rPr>
      </w:pPr>
      <w:r>
        <w:rPr>
          <w:rFonts w:hint="eastAsia" w:ascii="宋体" w:hAnsi="宋体" w:cs="仿宋_GB2312"/>
          <w:sz w:val="24"/>
        </w:rPr>
        <w:t>1.享受政府采购扶持政策的残疾人福利性单位，应当同时符合以下条件：</w:t>
      </w:r>
    </w:p>
    <w:p>
      <w:pPr>
        <w:adjustRightInd w:val="0"/>
        <w:snapToGrid w:val="0"/>
        <w:spacing w:line="360" w:lineRule="auto"/>
        <w:rPr>
          <w:rFonts w:ascii="宋体" w:hAnsi="宋体" w:cs="仿宋_GB2312"/>
          <w:sz w:val="24"/>
        </w:rPr>
      </w:pPr>
      <w:r>
        <w:rPr>
          <w:rFonts w:hint="eastAsia" w:ascii="宋体" w:hAnsi="宋体" w:cs="仿宋_GB2312"/>
          <w:sz w:val="24"/>
        </w:rPr>
        <w:t>①安置的残疾人占本单位在职职工人数的比例不低于25%（含25%），并且安置的残疾人人数不少于10人（含10人）；</w:t>
      </w:r>
    </w:p>
    <w:p>
      <w:pPr>
        <w:adjustRightInd w:val="0"/>
        <w:snapToGrid w:val="0"/>
        <w:spacing w:line="360" w:lineRule="auto"/>
        <w:rPr>
          <w:rFonts w:ascii="宋体" w:hAnsi="宋体" w:cs="仿宋_GB2312"/>
          <w:sz w:val="24"/>
        </w:rPr>
      </w:pPr>
      <w:r>
        <w:rPr>
          <w:rFonts w:hint="eastAsia" w:ascii="宋体" w:hAnsi="宋体" w:cs="仿宋_GB2312"/>
          <w:sz w:val="24"/>
        </w:rPr>
        <w:t>②依法与安置的每位残疾人签订了一年以上（含一年）劳动合同或服务协议；</w:t>
      </w:r>
    </w:p>
    <w:p>
      <w:pPr>
        <w:adjustRightInd w:val="0"/>
        <w:snapToGrid w:val="0"/>
        <w:spacing w:line="360" w:lineRule="auto"/>
        <w:rPr>
          <w:rFonts w:ascii="宋体" w:hAnsi="宋体" w:cs="仿宋_GB2312"/>
          <w:sz w:val="24"/>
        </w:rPr>
      </w:pPr>
      <w:r>
        <w:rPr>
          <w:rFonts w:hint="eastAsia" w:ascii="宋体" w:hAnsi="宋体" w:cs="仿宋_GB2312"/>
          <w:sz w:val="24"/>
        </w:rPr>
        <w:t>③为安置的每位残疾人按月足额缴纳了基本养老保险、基本医疗保险、失业保险、工伤保险和生育保险等社会保险费；</w:t>
      </w:r>
    </w:p>
    <w:p>
      <w:pPr>
        <w:adjustRightInd w:val="0"/>
        <w:snapToGrid w:val="0"/>
        <w:spacing w:line="360" w:lineRule="auto"/>
        <w:rPr>
          <w:rFonts w:ascii="宋体" w:hAnsi="宋体" w:cs="仿宋_GB2312"/>
          <w:sz w:val="24"/>
        </w:rPr>
      </w:pPr>
      <w:r>
        <w:rPr>
          <w:rFonts w:hint="eastAsia" w:ascii="宋体" w:hAnsi="宋体" w:cs="仿宋_GB2312"/>
          <w:sz w:val="24"/>
        </w:rPr>
        <w:t>④通过银行等金融机构向安置的每位残疾人，按月支付了不低于单位所在区县适用的经省级人民政府批准的月最低工资标准的工资；</w:t>
      </w:r>
    </w:p>
    <w:p>
      <w:pPr>
        <w:adjustRightInd w:val="0"/>
        <w:snapToGrid w:val="0"/>
        <w:spacing w:line="360" w:lineRule="auto"/>
        <w:rPr>
          <w:rFonts w:ascii="宋体" w:hAnsi="宋体" w:cs="仿宋_GB2312"/>
          <w:sz w:val="24"/>
        </w:rPr>
      </w:pPr>
      <w:r>
        <w:rPr>
          <w:rFonts w:hint="eastAsia" w:ascii="宋体" w:hAnsi="宋体" w:cs="仿宋_GB2312"/>
          <w:sz w:val="24"/>
        </w:rPr>
        <w:t>⑤提供本单位制造的货物、承担的工程或者服务（以下简称产品），或者提供其他残疾人福利性单位制造的货物（不包括使用非残疾人福利性单位注册商标的货物）。</w:t>
      </w:r>
    </w:p>
    <w:p>
      <w:pPr>
        <w:adjustRightInd w:val="0"/>
        <w:snapToGrid w:val="0"/>
        <w:spacing w:line="360" w:lineRule="auto"/>
        <w:rPr>
          <w:rFonts w:ascii="宋体" w:hAnsi="宋体" w:cs="仿宋_GB2312"/>
          <w:sz w:val="24"/>
        </w:rPr>
      </w:pPr>
      <w:r>
        <w:rPr>
          <w:rFonts w:hint="eastAsia" w:ascii="宋体" w:hAnsi="宋体" w:cs="仿宋_GB2312"/>
          <w:sz w:val="24"/>
        </w:rPr>
        <w:t>前款所称残疾人是指法定劳动年龄内，持有《中华人民共和国残疾人证》或者《中华人民共和国残疾军人证（1至8级）》的自然人，包括具有劳动条件的劳动意愿的精神残疾人）。在职职工人数是指与残疾人福利性单位建立劳动关系并依法签订劳动合同或者服务协议的雇员人数。</w:t>
      </w:r>
    </w:p>
    <w:p>
      <w:pPr>
        <w:adjustRightInd w:val="0"/>
        <w:snapToGrid w:val="0"/>
        <w:spacing w:line="360" w:lineRule="auto"/>
        <w:rPr>
          <w:rFonts w:ascii="宋体" w:hAnsi="宋体" w:cs="仿宋_GB2312"/>
          <w:sz w:val="24"/>
        </w:rPr>
      </w:pPr>
      <w:r>
        <w:rPr>
          <w:rFonts w:hint="eastAsia" w:ascii="宋体" w:hAnsi="宋体" w:cs="仿宋_GB2312"/>
          <w:sz w:val="24"/>
        </w:rPr>
        <w:t>2.投标人投标产品是残疾人福利性单位制造的，并符合条件的，其产品报价给予10％的扣除，用扣除后的价格参与投标报价计算。</w:t>
      </w:r>
    </w:p>
    <w:p>
      <w:pPr>
        <w:adjustRightInd w:val="0"/>
        <w:snapToGrid w:val="0"/>
        <w:spacing w:line="360" w:lineRule="auto"/>
        <w:rPr>
          <w:rFonts w:ascii="宋体" w:hAnsi="宋体" w:cs="仿宋_GB2312"/>
          <w:sz w:val="24"/>
        </w:rPr>
      </w:pPr>
      <w:r>
        <w:rPr>
          <w:rFonts w:hint="eastAsia" w:ascii="宋体" w:hAnsi="宋体" w:cs="仿宋_GB2312"/>
          <w:sz w:val="24"/>
        </w:rPr>
        <w:t>3.残疾人福利性单位同时属于小型、微型企业的，其享受的价格扣除比例取小微企业扣除率和残疾人福利性单位扣除率中的较大值。</w:t>
      </w:r>
    </w:p>
    <w:p>
      <w:pPr>
        <w:adjustRightInd w:val="0"/>
        <w:snapToGrid w:val="0"/>
        <w:spacing w:line="360" w:lineRule="auto"/>
        <w:rPr>
          <w:rFonts w:ascii="宋体" w:hAnsi="宋体" w:cs="仿宋_GB2312"/>
          <w:b/>
          <w:sz w:val="24"/>
        </w:rPr>
      </w:pPr>
      <w:r>
        <w:rPr>
          <w:rFonts w:hint="eastAsia" w:ascii="宋体" w:hAnsi="宋体" w:cs="仿宋_GB2312"/>
          <w:b/>
          <w:sz w:val="24"/>
        </w:rPr>
        <w:t>31.终止本次磋商</w:t>
      </w:r>
    </w:p>
    <w:p>
      <w:pPr>
        <w:adjustRightInd w:val="0"/>
        <w:snapToGrid w:val="0"/>
        <w:spacing w:line="360" w:lineRule="auto"/>
        <w:rPr>
          <w:rFonts w:ascii="宋体" w:hAnsi="宋体" w:cs="仿宋_GB2312"/>
          <w:sz w:val="24"/>
        </w:rPr>
      </w:pPr>
      <w:r>
        <w:rPr>
          <w:rFonts w:hint="eastAsia" w:ascii="宋体" w:hAnsi="宋体" w:cs="仿宋_GB2312"/>
          <w:sz w:val="24"/>
        </w:rPr>
        <w:t>出现下列情形之一的，采购人或采购代理机构应当终止本次竞争性磋商。</w:t>
      </w:r>
    </w:p>
    <w:p>
      <w:pPr>
        <w:adjustRightInd w:val="0"/>
        <w:snapToGrid w:val="0"/>
        <w:spacing w:line="360" w:lineRule="auto"/>
        <w:rPr>
          <w:rFonts w:ascii="宋体" w:hAnsi="宋体" w:cs="仿宋_GB2312"/>
          <w:sz w:val="24"/>
        </w:rPr>
      </w:pPr>
      <w:r>
        <w:rPr>
          <w:rFonts w:hint="eastAsia" w:ascii="宋体" w:hAnsi="宋体" w:cs="仿宋_GB2312"/>
          <w:sz w:val="24"/>
        </w:rPr>
        <w:t>（1）因情况变化，不再符合规定的竞争性磋商采购方式适用情形的；</w:t>
      </w:r>
    </w:p>
    <w:p>
      <w:pPr>
        <w:adjustRightInd w:val="0"/>
        <w:snapToGrid w:val="0"/>
        <w:spacing w:line="360" w:lineRule="auto"/>
        <w:rPr>
          <w:rFonts w:ascii="宋体" w:hAnsi="宋体" w:cs="仿宋_GB2312"/>
          <w:sz w:val="24"/>
        </w:rPr>
      </w:pPr>
      <w:r>
        <w:rPr>
          <w:rFonts w:hint="eastAsia" w:ascii="宋体" w:hAnsi="宋体" w:cs="仿宋_GB2312"/>
          <w:sz w:val="24"/>
        </w:rPr>
        <w:t>（2）出现影响采购公正的违法、违规行为的；</w:t>
      </w:r>
    </w:p>
    <w:p>
      <w:pPr>
        <w:adjustRightInd w:val="0"/>
        <w:snapToGrid w:val="0"/>
        <w:spacing w:line="360" w:lineRule="auto"/>
        <w:rPr>
          <w:rFonts w:ascii="宋体" w:hAnsi="宋体" w:cs="仿宋_GB2312"/>
          <w:sz w:val="24"/>
        </w:rPr>
      </w:pPr>
      <w:r>
        <w:rPr>
          <w:rFonts w:hint="eastAsia" w:ascii="宋体" w:hAnsi="宋体" w:cs="仿宋_GB2312"/>
          <w:sz w:val="24"/>
        </w:rPr>
        <w:t>（3）在采购过程中符合要求的供应商或者报价未超过采购预算或最高限价的供应商不足3家的。</w:t>
      </w:r>
    </w:p>
    <w:p>
      <w:pPr>
        <w:adjustRightInd w:val="0"/>
        <w:snapToGrid w:val="0"/>
        <w:spacing w:line="360" w:lineRule="auto"/>
        <w:rPr>
          <w:rFonts w:ascii="宋体" w:hAnsi="宋体" w:cs="仿宋_GB2312"/>
          <w:sz w:val="24"/>
        </w:rPr>
      </w:pPr>
      <w:r>
        <w:rPr>
          <w:rFonts w:hint="eastAsia" w:ascii="宋体" w:hAnsi="宋体" w:cs="仿宋_GB2312"/>
          <w:sz w:val="24"/>
        </w:rPr>
        <w:t>（4）因重大变故，采购任务取消的。</w:t>
      </w:r>
    </w:p>
    <w:p>
      <w:pPr>
        <w:adjustRightInd w:val="0"/>
        <w:snapToGrid w:val="0"/>
        <w:spacing w:line="360" w:lineRule="auto"/>
        <w:rPr>
          <w:rFonts w:ascii="宋体" w:hAnsi="宋体" w:cs="仿宋_GB2312"/>
          <w:b/>
          <w:sz w:val="24"/>
        </w:rPr>
      </w:pPr>
      <w:r>
        <w:rPr>
          <w:rFonts w:hint="eastAsia" w:ascii="宋体" w:hAnsi="宋体" w:cs="仿宋_GB2312"/>
          <w:b/>
          <w:sz w:val="24"/>
        </w:rPr>
        <w:t>32.成交候选供应商的推荐原则及标准</w:t>
      </w:r>
    </w:p>
    <w:p>
      <w:pPr>
        <w:adjustRightInd w:val="0"/>
        <w:snapToGrid w:val="0"/>
        <w:spacing w:line="360" w:lineRule="auto"/>
        <w:rPr>
          <w:rFonts w:ascii="宋体" w:hAnsi="宋体" w:cs="仿宋_GB2312"/>
          <w:sz w:val="24"/>
        </w:rPr>
      </w:pPr>
      <w:r>
        <w:rPr>
          <w:rFonts w:hint="eastAsia" w:ascii="宋体" w:hAnsi="宋体" w:cs="仿宋_GB2312"/>
          <w:sz w:val="24"/>
        </w:rPr>
        <w:t>32.1磋商结束后，除了算数修正和落实政府采购政策需进行的价格扣除外，不对供应商的响应价格进行任何调整。评审结果按照得分由高至低的顺序排序。具体处理办法详见评审方法。</w:t>
      </w:r>
    </w:p>
    <w:p>
      <w:pPr>
        <w:adjustRightInd w:val="0"/>
        <w:snapToGrid w:val="0"/>
        <w:spacing w:line="360" w:lineRule="auto"/>
        <w:rPr>
          <w:rFonts w:ascii="宋体" w:hAnsi="宋体" w:cs="仿宋_GB2312"/>
          <w:sz w:val="24"/>
        </w:rPr>
      </w:pPr>
      <w:r>
        <w:rPr>
          <w:rFonts w:hint="eastAsia" w:ascii="宋体" w:hAnsi="宋体" w:cs="仿宋_GB2312"/>
          <w:sz w:val="24"/>
        </w:rPr>
        <w:t>32.2磋商小组将按按照评审得分由高到低顺序推荐3名以上成交候选供应商。</w:t>
      </w:r>
    </w:p>
    <w:p>
      <w:pPr>
        <w:adjustRightInd w:val="0"/>
        <w:snapToGrid w:val="0"/>
        <w:spacing w:line="360" w:lineRule="auto"/>
        <w:rPr>
          <w:rFonts w:ascii="宋体" w:hAnsi="宋体" w:cs="仿宋_GB2312"/>
          <w:sz w:val="24"/>
        </w:rPr>
      </w:pPr>
      <w:r>
        <w:rPr>
          <w:rFonts w:hint="eastAsia" w:ascii="宋体" w:hAnsi="宋体" w:cs="仿宋_GB2312"/>
          <w:sz w:val="24"/>
        </w:rPr>
        <w:t>32.3符合《政府采购竞争性磋商采购方式管理暂行办法》第三条第四项情形的，提交最后报价的供应商可以为2家。</w:t>
      </w:r>
    </w:p>
    <w:p>
      <w:pPr>
        <w:adjustRightInd w:val="0"/>
        <w:snapToGrid w:val="0"/>
        <w:spacing w:line="360" w:lineRule="auto"/>
        <w:rPr>
          <w:rFonts w:ascii="宋体" w:hAnsi="宋体" w:cs="仿宋_GB2312"/>
          <w:sz w:val="24"/>
        </w:rPr>
      </w:pPr>
      <w:r>
        <w:rPr>
          <w:rFonts w:hint="eastAsia" w:ascii="宋体" w:hAnsi="宋体" w:cs="仿宋_GB2312"/>
          <w:sz w:val="24"/>
        </w:rPr>
        <w:t>32.5因推荐成交候选供应商名单产生其他问题，由磋商小组集体研究处理。</w:t>
      </w:r>
    </w:p>
    <w:p>
      <w:pPr>
        <w:adjustRightInd w:val="0"/>
        <w:snapToGrid w:val="0"/>
        <w:spacing w:line="360" w:lineRule="auto"/>
        <w:rPr>
          <w:rFonts w:ascii="宋体" w:hAnsi="宋体" w:cs="仿宋_GB2312"/>
          <w:b/>
          <w:bCs/>
          <w:sz w:val="24"/>
        </w:rPr>
      </w:pPr>
      <w:r>
        <w:rPr>
          <w:rFonts w:hint="eastAsia" w:ascii="宋体" w:hAnsi="宋体" w:cs="仿宋_GB2312"/>
          <w:b/>
          <w:bCs/>
          <w:sz w:val="24"/>
        </w:rPr>
        <w:t>33.保密原则</w:t>
      </w:r>
    </w:p>
    <w:p>
      <w:pPr>
        <w:adjustRightInd w:val="0"/>
        <w:snapToGrid w:val="0"/>
        <w:spacing w:line="360" w:lineRule="auto"/>
        <w:rPr>
          <w:rFonts w:ascii="宋体" w:hAnsi="宋体" w:cs="仿宋_GB2312"/>
          <w:sz w:val="24"/>
        </w:rPr>
      </w:pPr>
      <w:r>
        <w:rPr>
          <w:rFonts w:hint="eastAsia" w:ascii="宋体" w:hAnsi="宋体" w:cs="仿宋_GB2312"/>
          <w:sz w:val="24"/>
        </w:rPr>
        <w:t>33.1评审将在严格保密的情况下进行。</w:t>
      </w:r>
    </w:p>
    <w:p>
      <w:pPr>
        <w:adjustRightInd w:val="0"/>
        <w:snapToGrid w:val="0"/>
        <w:spacing w:line="360" w:lineRule="auto"/>
        <w:rPr>
          <w:rFonts w:ascii="宋体" w:hAnsi="宋体" w:cs="仿宋_GB2312"/>
          <w:sz w:val="24"/>
        </w:rPr>
      </w:pPr>
      <w:r>
        <w:rPr>
          <w:rFonts w:hint="eastAsia" w:ascii="宋体" w:hAnsi="宋体" w:cs="仿宋_GB2312"/>
          <w:sz w:val="24"/>
        </w:rPr>
        <w:t>33.2有关人员应当遵守评审工作纪律，不得泄露评审文件、评审情况和评审过程中获悉的国家秘密、商业秘密。</w:t>
      </w:r>
    </w:p>
    <w:p>
      <w:pPr>
        <w:jc w:val="center"/>
        <w:rPr>
          <w:rFonts w:ascii="宋体" w:hAnsi="宋体"/>
          <w:b/>
          <w:bCs/>
          <w:sz w:val="30"/>
          <w:szCs w:val="30"/>
        </w:rPr>
      </w:pPr>
      <w:r>
        <w:rPr>
          <w:rFonts w:hint="eastAsia" w:ascii="宋体" w:hAnsi="宋体"/>
          <w:b/>
          <w:bCs/>
          <w:sz w:val="30"/>
          <w:szCs w:val="30"/>
        </w:rPr>
        <w:t>六、确定成交</w:t>
      </w:r>
    </w:p>
    <w:p>
      <w:pPr>
        <w:adjustRightInd w:val="0"/>
        <w:snapToGrid w:val="0"/>
        <w:spacing w:line="360" w:lineRule="auto"/>
        <w:rPr>
          <w:rFonts w:ascii="宋体" w:hAnsi="宋体" w:cs="仿宋_GB2312"/>
          <w:b/>
          <w:sz w:val="24"/>
        </w:rPr>
      </w:pPr>
      <w:r>
        <w:rPr>
          <w:rFonts w:hint="eastAsia" w:ascii="宋体" w:hAnsi="宋体" w:cs="仿宋_GB2312"/>
          <w:b/>
          <w:sz w:val="24"/>
        </w:rPr>
        <w:t>34.确定成交供应商</w:t>
      </w:r>
    </w:p>
    <w:p>
      <w:pPr>
        <w:adjustRightInd w:val="0"/>
        <w:snapToGrid w:val="0"/>
        <w:spacing w:line="360" w:lineRule="auto"/>
        <w:rPr>
          <w:rFonts w:ascii="宋体" w:hAnsi="宋体" w:cs="仿宋_GB2312"/>
          <w:sz w:val="24"/>
        </w:rPr>
      </w:pPr>
      <w:r>
        <w:rPr>
          <w:rFonts w:hint="eastAsia" w:ascii="宋体" w:hAnsi="宋体" w:cs="仿宋_GB2312"/>
          <w:sz w:val="24"/>
        </w:rPr>
        <w:t>采购人在收到评审报告5个工作日内,从评审报告提出的成交候选供应商中,根据质量和服务均能满足采购文件实质性响应要求且综合得分最高的原则确定成交供应商,也可以书面授权磋商小组直接确定成交供应商</w:t>
      </w:r>
    </w:p>
    <w:p>
      <w:pPr>
        <w:adjustRightInd w:val="0"/>
        <w:snapToGrid w:val="0"/>
        <w:spacing w:line="360" w:lineRule="auto"/>
        <w:rPr>
          <w:rFonts w:ascii="宋体" w:hAnsi="宋体" w:cs="仿宋_GB2312"/>
          <w:b/>
          <w:sz w:val="24"/>
        </w:rPr>
      </w:pPr>
      <w:r>
        <w:rPr>
          <w:rFonts w:hint="eastAsia" w:ascii="宋体" w:hAnsi="宋体" w:cs="仿宋_GB2312"/>
          <w:b/>
          <w:sz w:val="24"/>
        </w:rPr>
        <w:t>35.采购任务取消</w:t>
      </w:r>
    </w:p>
    <w:p>
      <w:pPr>
        <w:adjustRightInd w:val="0"/>
        <w:snapToGrid w:val="0"/>
        <w:spacing w:line="360" w:lineRule="auto"/>
        <w:rPr>
          <w:rFonts w:ascii="宋体" w:hAnsi="宋体" w:cs="仿宋_GB2312"/>
          <w:sz w:val="24"/>
        </w:rPr>
      </w:pPr>
      <w:r>
        <w:rPr>
          <w:rFonts w:hint="eastAsia" w:ascii="宋体" w:hAnsi="宋体" w:cs="仿宋_GB2312"/>
          <w:sz w:val="24"/>
        </w:rPr>
        <w:t>因重大变故采购任务取消时，采购人有权拒绝任何供应商成交，且对受影响的供应商不承担任何责任。</w:t>
      </w:r>
    </w:p>
    <w:p>
      <w:pPr>
        <w:adjustRightInd w:val="0"/>
        <w:snapToGrid w:val="0"/>
        <w:spacing w:line="360" w:lineRule="auto"/>
        <w:rPr>
          <w:rFonts w:ascii="宋体" w:hAnsi="宋体" w:cs="仿宋_GB2312"/>
          <w:b/>
          <w:sz w:val="24"/>
        </w:rPr>
      </w:pPr>
      <w:r>
        <w:rPr>
          <w:rFonts w:hint="eastAsia" w:ascii="宋体" w:hAnsi="宋体" w:cs="仿宋_GB2312"/>
          <w:b/>
          <w:sz w:val="24"/>
        </w:rPr>
        <w:t>36.成交通知书</w:t>
      </w:r>
    </w:p>
    <w:p>
      <w:pPr>
        <w:adjustRightInd w:val="0"/>
        <w:snapToGrid w:val="0"/>
        <w:spacing w:line="360" w:lineRule="auto"/>
        <w:rPr>
          <w:rFonts w:ascii="宋体" w:hAnsi="宋体" w:cs="仿宋_GB2312"/>
          <w:sz w:val="24"/>
        </w:rPr>
      </w:pPr>
      <w:r>
        <w:rPr>
          <w:rFonts w:hint="eastAsia" w:ascii="宋体" w:hAnsi="宋体" w:cs="仿宋_GB2312"/>
          <w:sz w:val="24"/>
        </w:rPr>
        <w:t>36.1采购人或者采购代理机构应当在成交供应商确定之日起2个工作日内，在大连政府采购网公告成交结果，同时向成交供应商发出成交通知书。</w:t>
      </w:r>
    </w:p>
    <w:p>
      <w:pPr>
        <w:adjustRightInd w:val="0"/>
        <w:snapToGrid w:val="0"/>
        <w:spacing w:line="360" w:lineRule="auto"/>
        <w:rPr>
          <w:rFonts w:ascii="宋体" w:hAnsi="宋体" w:cs="仿宋_GB2312"/>
          <w:sz w:val="24"/>
        </w:rPr>
      </w:pPr>
      <w:r>
        <w:rPr>
          <w:rFonts w:hint="eastAsia" w:ascii="宋体" w:hAnsi="宋体" w:cs="仿宋_GB2312"/>
          <w:sz w:val="24"/>
        </w:rPr>
        <w:t>36.2成交通知书是合同的组成部分。</w:t>
      </w:r>
    </w:p>
    <w:p>
      <w:pPr>
        <w:adjustRightInd w:val="0"/>
        <w:snapToGrid w:val="0"/>
        <w:spacing w:line="360" w:lineRule="auto"/>
        <w:rPr>
          <w:rFonts w:ascii="宋体" w:hAnsi="宋体" w:cs="仿宋_GB2312"/>
          <w:b/>
          <w:sz w:val="24"/>
        </w:rPr>
      </w:pPr>
      <w:r>
        <w:rPr>
          <w:rFonts w:hint="eastAsia" w:ascii="宋体" w:hAnsi="宋体" w:cs="仿宋_GB2312"/>
          <w:b/>
          <w:sz w:val="24"/>
        </w:rPr>
        <w:t>37.签订合同</w:t>
      </w:r>
    </w:p>
    <w:p>
      <w:pPr>
        <w:adjustRightInd w:val="0"/>
        <w:snapToGrid w:val="0"/>
        <w:spacing w:line="360" w:lineRule="auto"/>
        <w:rPr>
          <w:rFonts w:ascii="宋体" w:hAnsi="宋体" w:cs="仿宋_GB2312"/>
          <w:sz w:val="24"/>
        </w:rPr>
      </w:pPr>
      <w:r>
        <w:rPr>
          <w:rFonts w:hint="eastAsia" w:ascii="宋体" w:hAnsi="宋体" w:cs="仿宋_GB2312"/>
          <w:sz w:val="24"/>
        </w:rPr>
        <w:t>37.1成交供应商应当自发出成交通知书之日起 30 日内，按照采购文件确定的合同文本以及采购标的、采购金额、采购数量、技术和服务要求等事项签订政府采购合同。</w:t>
      </w:r>
    </w:p>
    <w:p>
      <w:pPr>
        <w:adjustRightInd w:val="0"/>
        <w:snapToGrid w:val="0"/>
        <w:spacing w:line="360" w:lineRule="auto"/>
        <w:rPr>
          <w:rFonts w:ascii="宋体" w:hAnsi="宋体" w:cs="仿宋_GB2312"/>
          <w:sz w:val="24"/>
        </w:rPr>
      </w:pPr>
      <w:r>
        <w:rPr>
          <w:rFonts w:hint="eastAsia" w:ascii="宋体" w:hAnsi="宋体" w:cs="仿宋_GB2312"/>
          <w:sz w:val="24"/>
        </w:rPr>
        <w:t>37.2除不可抗力等因素外，成交通知书发出后，采购人改变成交结果，或者成交供应商拒绝签订政府采购合同的，应当承担相应的法律责任。</w:t>
      </w:r>
    </w:p>
    <w:p>
      <w:pPr>
        <w:adjustRightInd w:val="0"/>
        <w:snapToGrid w:val="0"/>
        <w:spacing w:line="360" w:lineRule="auto"/>
        <w:rPr>
          <w:rFonts w:ascii="宋体" w:hAnsi="宋体" w:cs="仿宋_GB2312"/>
          <w:sz w:val="24"/>
        </w:rPr>
      </w:pPr>
      <w:r>
        <w:rPr>
          <w:rFonts w:hint="eastAsia" w:ascii="宋体" w:hAnsi="宋体" w:cs="仿宋_GB2312"/>
          <w:sz w:val="24"/>
        </w:rPr>
        <w:t>37.3采购文件、成交供应商的响应文件及其澄清文件等，均为签订合同的依据。所签订的合同不得对采购文件确定的事项和成交供应商响应文件作实质性修改。采购人不得向成交供应商提出超出采购文件以外的任何不合理的要求，作为签订合同的条件，不得与成交供应商订立背离采购文件确定的合同文本以及采购标的、采购金额、采购数量、技术和服务要求等实质性内容的协议。</w:t>
      </w:r>
    </w:p>
    <w:p>
      <w:pPr>
        <w:adjustRightInd w:val="0"/>
        <w:snapToGrid w:val="0"/>
        <w:spacing w:line="360" w:lineRule="auto"/>
        <w:rPr>
          <w:rFonts w:ascii="宋体" w:hAnsi="宋体" w:cs="仿宋_GB2312"/>
          <w:kern w:val="0"/>
          <w:sz w:val="24"/>
        </w:rPr>
      </w:pPr>
      <w:r>
        <w:rPr>
          <w:rFonts w:hint="eastAsia" w:ascii="宋体" w:hAnsi="宋体" w:cs="仿宋_GB2312"/>
          <w:sz w:val="24"/>
        </w:rPr>
        <w:t>37.4成交供应商拒绝与采购人签订合同的，采购人可以按照评审报告推荐的成交候选供应商名单排序，确定下一成交候选供应商为成交供应商，也可以重新开展政府采购活动。拒绝签订政府采购合同的成交供应商不得参加对该项目重新开展的采购活动</w:t>
      </w:r>
      <w:r>
        <w:rPr>
          <w:rFonts w:hint="eastAsia" w:ascii="宋体" w:hAnsi="宋体" w:cs="仿宋_GB2312"/>
          <w:kern w:val="0"/>
          <w:sz w:val="24"/>
        </w:rPr>
        <w:t>。</w:t>
      </w:r>
    </w:p>
    <w:p>
      <w:pPr>
        <w:adjustRightInd w:val="0"/>
        <w:snapToGrid w:val="0"/>
        <w:spacing w:line="360" w:lineRule="auto"/>
        <w:rPr>
          <w:rFonts w:ascii="宋体" w:hAnsi="宋体" w:cs="仿宋_GB2312"/>
          <w:b/>
          <w:sz w:val="24"/>
        </w:rPr>
      </w:pPr>
      <w:r>
        <w:rPr>
          <w:rFonts w:hint="eastAsia" w:ascii="宋体" w:hAnsi="宋体" w:cs="仿宋_GB2312"/>
          <w:b/>
          <w:sz w:val="24"/>
        </w:rPr>
        <w:t>38.履约保证金（本项目不采用）</w:t>
      </w:r>
    </w:p>
    <w:p>
      <w:pPr>
        <w:adjustRightInd w:val="0"/>
        <w:snapToGrid w:val="0"/>
        <w:spacing w:line="360" w:lineRule="auto"/>
        <w:rPr>
          <w:rFonts w:ascii="宋体" w:hAnsi="宋体" w:cs="仿宋_GB2312"/>
          <w:sz w:val="24"/>
        </w:rPr>
      </w:pPr>
      <w:r>
        <w:rPr>
          <w:rFonts w:hint="eastAsia" w:ascii="宋体" w:hAnsi="宋体" w:cs="仿宋_GB2312"/>
          <w:sz w:val="24"/>
        </w:rPr>
        <w:t>38.1成交供应商应按照供应商须知前附表规定向采购人缴纳履约保证金。</w:t>
      </w:r>
    </w:p>
    <w:p>
      <w:pPr>
        <w:adjustRightInd w:val="0"/>
        <w:snapToGrid w:val="0"/>
        <w:spacing w:line="360" w:lineRule="auto"/>
        <w:rPr>
          <w:rFonts w:ascii="宋体" w:hAnsi="宋体" w:cs="仿宋_GB2312"/>
          <w:sz w:val="24"/>
        </w:rPr>
      </w:pPr>
      <w:r>
        <w:rPr>
          <w:rFonts w:hint="eastAsia" w:ascii="宋体" w:hAnsi="宋体" w:cs="仿宋_GB2312"/>
          <w:sz w:val="24"/>
        </w:rPr>
        <w:t>38.2如果成交供应商没有按照上述履约保证金的规定执行，将视为拒绝签订合同并放弃成交资格，成交供应商的磋商保证金将不予退还。在此情况下，采购人可确定下一成交候选供应商为成交供应商，也可以重新开展采购活动。</w:t>
      </w:r>
    </w:p>
    <w:p>
      <w:pPr>
        <w:adjustRightInd w:val="0"/>
        <w:snapToGrid w:val="0"/>
        <w:spacing w:line="360" w:lineRule="auto"/>
        <w:rPr>
          <w:rFonts w:ascii="宋体" w:hAnsi="宋体" w:cs="仿宋_GB2312"/>
          <w:b/>
          <w:sz w:val="24"/>
        </w:rPr>
      </w:pPr>
      <w:r>
        <w:rPr>
          <w:rFonts w:hint="eastAsia" w:ascii="宋体" w:hAnsi="宋体" w:cs="仿宋_GB2312"/>
          <w:b/>
          <w:sz w:val="24"/>
        </w:rPr>
        <w:t>39.采购代理服务费</w:t>
      </w:r>
    </w:p>
    <w:p>
      <w:pPr>
        <w:adjustRightInd w:val="0"/>
        <w:snapToGrid w:val="0"/>
        <w:spacing w:line="360" w:lineRule="auto"/>
        <w:rPr>
          <w:rFonts w:ascii="宋体" w:hAnsi="宋体" w:cs="仿宋_GB2312"/>
          <w:sz w:val="24"/>
        </w:rPr>
      </w:pPr>
      <w:r>
        <w:rPr>
          <w:rFonts w:hint="eastAsia" w:ascii="宋体" w:hAnsi="宋体" w:cs="仿宋_GB2312"/>
          <w:sz w:val="24"/>
        </w:rPr>
        <w:t>中标人在领取“中标通知书”之前或同时，须向招标代理人缴纳代理服务费，代理服务费金额为中标金额的1.5%。</w:t>
      </w:r>
    </w:p>
    <w:p>
      <w:pPr>
        <w:adjustRightInd w:val="0"/>
        <w:snapToGrid w:val="0"/>
        <w:spacing w:line="360" w:lineRule="auto"/>
        <w:rPr>
          <w:rFonts w:ascii="宋体" w:hAnsi="宋体" w:cs="仿宋_GB2312"/>
          <w:b/>
          <w:sz w:val="24"/>
        </w:rPr>
      </w:pPr>
      <w:r>
        <w:rPr>
          <w:rFonts w:hint="eastAsia" w:ascii="宋体" w:hAnsi="宋体" w:cs="仿宋_GB2312"/>
          <w:b/>
          <w:sz w:val="24"/>
        </w:rPr>
        <w:t>40.廉洁自律规定</w:t>
      </w:r>
    </w:p>
    <w:p>
      <w:pPr>
        <w:adjustRightInd w:val="0"/>
        <w:snapToGrid w:val="0"/>
        <w:spacing w:line="360" w:lineRule="auto"/>
        <w:rPr>
          <w:rFonts w:ascii="宋体" w:hAnsi="宋体" w:cs="仿宋_GB2312"/>
          <w:sz w:val="24"/>
        </w:rPr>
      </w:pPr>
      <w:r>
        <w:rPr>
          <w:rFonts w:hint="eastAsia" w:ascii="宋体" w:hAnsi="宋体" w:cs="仿宋_GB2312"/>
          <w:sz w:val="24"/>
        </w:rPr>
        <w:t>40.1采购代理机构工作人员不得以不正当手段获取政府采购代理业务，不得与采购人、供应商恶意串通操纵政府采购活动。</w:t>
      </w:r>
    </w:p>
    <w:p>
      <w:pPr>
        <w:adjustRightInd w:val="0"/>
        <w:snapToGrid w:val="0"/>
        <w:spacing w:line="360" w:lineRule="auto"/>
        <w:rPr>
          <w:rFonts w:ascii="宋体" w:hAnsi="宋体" w:cs="仿宋_GB2312"/>
          <w:sz w:val="24"/>
        </w:rPr>
      </w:pPr>
      <w:r>
        <w:rPr>
          <w:rFonts w:hint="eastAsia" w:ascii="宋体" w:hAnsi="宋体" w:cs="仿宋_GB2312"/>
          <w:sz w:val="24"/>
        </w:rPr>
        <w:t>40.2采购代理机构工作人员不得接受采购人或者供应商组织的宴请、旅游、娱乐，不得收受礼品、现金、有价证券等。</w:t>
      </w:r>
    </w:p>
    <w:p>
      <w:pPr>
        <w:adjustRightInd w:val="0"/>
        <w:snapToGrid w:val="0"/>
        <w:spacing w:line="360" w:lineRule="auto"/>
        <w:rPr>
          <w:rFonts w:ascii="宋体" w:hAnsi="宋体" w:cs="仿宋_GB2312"/>
          <w:b/>
          <w:sz w:val="24"/>
        </w:rPr>
      </w:pPr>
      <w:r>
        <w:rPr>
          <w:rFonts w:hint="eastAsia" w:ascii="宋体" w:hAnsi="宋体" w:cs="仿宋_GB2312"/>
          <w:b/>
          <w:sz w:val="24"/>
        </w:rPr>
        <w:t>41.人员回避</w:t>
      </w:r>
    </w:p>
    <w:p>
      <w:pPr>
        <w:adjustRightInd w:val="0"/>
        <w:snapToGrid w:val="0"/>
        <w:spacing w:line="360" w:lineRule="auto"/>
        <w:rPr>
          <w:rFonts w:ascii="宋体" w:hAnsi="宋体" w:cs="仿宋_GB2312"/>
          <w:sz w:val="24"/>
        </w:rPr>
      </w:pPr>
      <w:r>
        <w:rPr>
          <w:rFonts w:hint="eastAsia" w:ascii="宋体" w:hAnsi="宋体" w:cs="仿宋_GB2312"/>
          <w:sz w:val="24"/>
        </w:rPr>
        <w:t>供应商认为采购人及其相关人员有法律法规所列与其他供应商有利害关系的，可以向采购人或采购代理机构书面提出回避申请，并说明理由。</w:t>
      </w:r>
    </w:p>
    <w:p>
      <w:pPr>
        <w:adjustRightInd w:val="0"/>
        <w:snapToGrid w:val="0"/>
        <w:spacing w:line="360" w:lineRule="auto"/>
        <w:rPr>
          <w:rFonts w:ascii="宋体" w:hAnsi="宋体" w:cs="仿宋_GB2312"/>
          <w:b/>
          <w:sz w:val="24"/>
        </w:rPr>
      </w:pPr>
      <w:r>
        <w:rPr>
          <w:rFonts w:hint="eastAsia" w:ascii="宋体" w:hAnsi="宋体" w:cs="仿宋_GB2312"/>
          <w:b/>
          <w:sz w:val="24"/>
        </w:rPr>
        <w:t>42.质疑与接收</w:t>
      </w:r>
    </w:p>
    <w:p>
      <w:pPr>
        <w:adjustRightInd w:val="0"/>
        <w:snapToGrid w:val="0"/>
        <w:spacing w:line="360" w:lineRule="auto"/>
        <w:rPr>
          <w:rFonts w:ascii="宋体" w:hAnsi="宋体" w:cs="仿宋_GB2312"/>
          <w:sz w:val="24"/>
        </w:rPr>
      </w:pPr>
      <w:r>
        <w:rPr>
          <w:rFonts w:hint="eastAsia" w:ascii="宋体" w:hAnsi="宋体" w:cs="仿宋_GB2312"/>
          <w:sz w:val="24"/>
        </w:rPr>
        <w:t>42.1供应商认为采购文件、采购过程和成交结果使自己的权益受到损害的，可以根据《中华人民共和国政府采购法》、《中华人民共和国政府采购法实施条例》、《政府采购竞争性磋商采购方式管理暂行办法》和《</w:t>
      </w:r>
      <w:r>
        <w:rPr>
          <w:rFonts w:hint="eastAsia" w:ascii="宋体" w:hAnsi="宋体"/>
          <w:bCs/>
          <w:sz w:val="24"/>
        </w:rPr>
        <w:t>政府采购质疑和投诉办法</w:t>
      </w:r>
      <w:r>
        <w:rPr>
          <w:rFonts w:hint="eastAsia" w:ascii="宋体" w:hAnsi="宋体" w:cs="仿宋_GB2312"/>
          <w:sz w:val="24"/>
        </w:rPr>
        <w:t>》的有关规定，依法向采购人或其委托的采购代理机构提出质疑。</w:t>
      </w:r>
    </w:p>
    <w:p>
      <w:pPr>
        <w:spacing w:line="360" w:lineRule="auto"/>
        <w:rPr>
          <w:rFonts w:ascii="宋体" w:hAnsi="宋体"/>
          <w:b/>
          <w:bCs/>
          <w:sz w:val="24"/>
        </w:rPr>
      </w:pPr>
      <w:r>
        <w:rPr>
          <w:rFonts w:hint="eastAsia" w:ascii="宋体" w:hAnsi="宋体" w:cs="仿宋_GB2312"/>
          <w:sz w:val="24"/>
        </w:rPr>
        <w:t>42.2</w:t>
      </w:r>
      <w:r>
        <w:rPr>
          <w:rFonts w:hint="eastAsia" w:ascii="宋体" w:hAnsi="宋体"/>
          <w:bCs/>
          <w:sz w:val="24"/>
        </w:rPr>
        <w:t>供应商认为采购文件、采购过程、成交结果使得自己的权益受到损害的，可以在知道或者应知其权益受到损害之日起7个工作日内，以书面形式向采购人、采购代理机构提出质疑。</w:t>
      </w:r>
      <w:r>
        <w:rPr>
          <w:rFonts w:hint="eastAsia" w:ascii="宋体" w:hAnsi="宋体"/>
          <w:b/>
          <w:bCs/>
          <w:sz w:val="24"/>
        </w:rPr>
        <w:t>供应商在法定质疑期内须一次性提出针对同一采购程序环节的质疑，重复针对同一采购程序环节提出的质疑将不予受理。</w:t>
      </w:r>
    </w:p>
    <w:p>
      <w:pPr>
        <w:spacing w:line="360" w:lineRule="auto"/>
        <w:ind w:firstLine="240" w:firstLineChars="100"/>
        <w:rPr>
          <w:rFonts w:ascii="宋体" w:hAnsi="宋体"/>
          <w:bCs/>
          <w:sz w:val="24"/>
        </w:rPr>
      </w:pPr>
      <w:r>
        <w:rPr>
          <w:rFonts w:hint="eastAsia" w:ascii="宋体" w:hAnsi="宋体"/>
          <w:bCs/>
          <w:sz w:val="24"/>
        </w:rPr>
        <w:t>（1）接收质疑函的方式：质疑函原件书面送达采购代理人，如采用邮寄的方式寄送质疑函以采购代理人签收函件时间为准。</w:t>
      </w:r>
    </w:p>
    <w:p>
      <w:pPr>
        <w:spacing w:line="360" w:lineRule="auto"/>
        <w:ind w:firstLine="240" w:firstLineChars="100"/>
        <w:rPr>
          <w:rFonts w:ascii="宋体" w:hAnsi="宋体"/>
          <w:bCs/>
          <w:sz w:val="24"/>
        </w:rPr>
      </w:pPr>
      <w:r>
        <w:rPr>
          <w:rFonts w:hint="eastAsia" w:ascii="宋体" w:hAnsi="宋体"/>
          <w:bCs/>
          <w:sz w:val="24"/>
        </w:rPr>
        <w:t>（2）联系人及电话：孙栋、姜晓云、孔祥兰   0411-83012677</w:t>
      </w:r>
    </w:p>
    <w:p>
      <w:pPr>
        <w:spacing w:line="360" w:lineRule="auto"/>
        <w:ind w:firstLine="240" w:firstLineChars="100"/>
        <w:rPr>
          <w:rFonts w:ascii="宋体" w:hAnsi="宋体"/>
          <w:bCs/>
          <w:sz w:val="24"/>
        </w:rPr>
      </w:pPr>
      <w:r>
        <w:rPr>
          <w:rFonts w:hint="eastAsia" w:ascii="宋体" w:hAnsi="宋体"/>
          <w:bCs/>
          <w:sz w:val="24"/>
        </w:rPr>
        <w:t>（3）通信地址：</w:t>
      </w:r>
      <w:r>
        <w:rPr>
          <w:rFonts w:hint="eastAsia" w:ascii="宋体" w:hAnsi="宋体"/>
          <w:bCs/>
          <w:sz w:val="24"/>
          <w:lang w:eastAsia="zh-CN"/>
        </w:rPr>
        <w:t>大连市沙河口区联合路6A国资创新大厦2506室</w:t>
      </w:r>
      <w:r>
        <w:rPr>
          <w:rFonts w:hint="eastAsia" w:ascii="宋体" w:hAnsi="宋体"/>
          <w:bCs/>
          <w:sz w:val="24"/>
        </w:rPr>
        <w:t xml:space="preserve">   </w:t>
      </w:r>
    </w:p>
    <w:p>
      <w:pPr>
        <w:spacing w:line="360" w:lineRule="auto"/>
        <w:ind w:firstLine="240" w:firstLineChars="100"/>
        <w:rPr>
          <w:rFonts w:ascii="宋体" w:hAnsi="宋体"/>
          <w:bCs/>
          <w:sz w:val="24"/>
        </w:rPr>
      </w:pPr>
      <w:r>
        <w:rPr>
          <w:rFonts w:hint="eastAsia" w:ascii="宋体" w:hAnsi="宋体" w:cs="仿宋_GB2312"/>
          <w:sz w:val="24"/>
        </w:rPr>
        <w:t>42.3</w:t>
      </w:r>
      <w:r>
        <w:rPr>
          <w:rFonts w:hint="eastAsia" w:ascii="宋体" w:hAnsi="宋体"/>
          <w:bCs/>
          <w:sz w:val="24"/>
        </w:rPr>
        <w:t>供应商提出质疑应当提交质疑函和必要的证明材料。质疑函应当包括下列内容：</w:t>
      </w:r>
    </w:p>
    <w:p>
      <w:pPr>
        <w:spacing w:line="360" w:lineRule="auto"/>
        <w:ind w:firstLine="240" w:firstLineChars="100"/>
        <w:rPr>
          <w:rFonts w:ascii="宋体" w:hAnsi="宋体"/>
          <w:bCs/>
          <w:sz w:val="24"/>
        </w:rPr>
      </w:pPr>
      <w:r>
        <w:rPr>
          <w:rFonts w:hint="eastAsia" w:ascii="宋体" w:hAnsi="宋体"/>
          <w:bCs/>
          <w:sz w:val="24"/>
        </w:rPr>
        <w:t>　　（1）供应商的姓名或者名称、地址、邮编、联系人及联系电话；</w:t>
      </w:r>
    </w:p>
    <w:p>
      <w:pPr>
        <w:spacing w:line="360" w:lineRule="auto"/>
        <w:ind w:firstLine="240" w:firstLineChars="100"/>
        <w:rPr>
          <w:rFonts w:ascii="宋体" w:hAnsi="宋体"/>
          <w:bCs/>
          <w:sz w:val="24"/>
        </w:rPr>
      </w:pPr>
      <w:r>
        <w:rPr>
          <w:rFonts w:hint="eastAsia" w:ascii="宋体" w:hAnsi="宋体"/>
          <w:bCs/>
          <w:sz w:val="24"/>
        </w:rPr>
        <w:t>　　（2）质疑项目的名称、编号；</w:t>
      </w:r>
    </w:p>
    <w:p>
      <w:pPr>
        <w:spacing w:line="360" w:lineRule="auto"/>
        <w:ind w:firstLine="240" w:firstLineChars="100"/>
        <w:rPr>
          <w:rFonts w:ascii="宋体" w:hAnsi="宋体"/>
          <w:bCs/>
          <w:sz w:val="24"/>
        </w:rPr>
      </w:pPr>
      <w:r>
        <w:rPr>
          <w:rFonts w:hint="eastAsia" w:ascii="宋体" w:hAnsi="宋体"/>
          <w:bCs/>
          <w:sz w:val="24"/>
        </w:rPr>
        <w:t>　　（3）具体、明确的质疑事项和与质疑事项相关的请求；</w:t>
      </w:r>
    </w:p>
    <w:p>
      <w:pPr>
        <w:spacing w:line="360" w:lineRule="auto"/>
        <w:ind w:firstLine="240" w:firstLineChars="100"/>
        <w:rPr>
          <w:rFonts w:ascii="宋体" w:hAnsi="宋体"/>
          <w:bCs/>
          <w:sz w:val="24"/>
        </w:rPr>
      </w:pPr>
      <w:r>
        <w:rPr>
          <w:rFonts w:hint="eastAsia" w:ascii="宋体" w:hAnsi="宋体"/>
          <w:bCs/>
          <w:sz w:val="24"/>
        </w:rPr>
        <w:t>　　（4）事实依据；</w:t>
      </w:r>
    </w:p>
    <w:p>
      <w:pPr>
        <w:spacing w:line="360" w:lineRule="auto"/>
        <w:ind w:firstLine="240" w:firstLineChars="100"/>
        <w:rPr>
          <w:rFonts w:ascii="宋体" w:hAnsi="宋体"/>
          <w:bCs/>
          <w:sz w:val="24"/>
        </w:rPr>
      </w:pPr>
      <w:r>
        <w:rPr>
          <w:rFonts w:hint="eastAsia" w:ascii="宋体" w:hAnsi="宋体"/>
          <w:bCs/>
          <w:sz w:val="24"/>
        </w:rPr>
        <w:t>　　（5）必要的法律依据；</w:t>
      </w:r>
    </w:p>
    <w:p>
      <w:pPr>
        <w:spacing w:line="360" w:lineRule="auto"/>
        <w:ind w:firstLine="240" w:firstLineChars="100"/>
        <w:rPr>
          <w:rFonts w:ascii="宋体" w:hAnsi="宋体"/>
          <w:bCs/>
          <w:sz w:val="24"/>
        </w:rPr>
      </w:pPr>
      <w:r>
        <w:rPr>
          <w:rFonts w:hint="eastAsia" w:ascii="宋体" w:hAnsi="宋体"/>
          <w:bCs/>
          <w:sz w:val="24"/>
        </w:rPr>
        <w:t>　　（6）提出质疑的日期。</w:t>
      </w:r>
    </w:p>
    <w:p>
      <w:pPr>
        <w:spacing w:line="360" w:lineRule="auto"/>
        <w:ind w:firstLine="240" w:firstLineChars="100"/>
        <w:rPr>
          <w:rFonts w:ascii="宋体" w:hAnsi="宋体"/>
          <w:bCs/>
          <w:sz w:val="24"/>
        </w:rPr>
      </w:pPr>
      <w:r>
        <w:rPr>
          <w:rFonts w:hint="eastAsia" w:ascii="宋体" w:hAnsi="宋体"/>
          <w:bCs/>
          <w:sz w:val="24"/>
        </w:rPr>
        <w:t>　　供应商为自然人的，应当由本人签字；供应商为法人或者其他组织的，应当由法定代表人、主要负责人，或者其授权代表签字或者盖章，并加盖公章。未按要求签署的质疑函采购代理人不予受理。</w:t>
      </w:r>
    </w:p>
    <w:p>
      <w:pPr>
        <w:adjustRightInd w:val="0"/>
        <w:snapToGrid w:val="0"/>
        <w:spacing w:line="360" w:lineRule="auto"/>
        <w:rPr>
          <w:rFonts w:ascii="宋体" w:hAnsi="宋体" w:cs="仿宋_GB2312"/>
          <w:sz w:val="24"/>
        </w:rPr>
      </w:pPr>
      <w:r>
        <w:rPr>
          <w:rFonts w:hint="eastAsia" w:ascii="宋体" w:hAnsi="宋体" w:cs="仿宋_GB2312"/>
          <w:sz w:val="24"/>
        </w:rPr>
        <w:t>42.4</w:t>
      </w:r>
      <w:r>
        <w:rPr>
          <w:rFonts w:hint="eastAsia" w:ascii="宋体" w:hAnsi="宋体"/>
          <w:bCs/>
          <w:sz w:val="24"/>
        </w:rPr>
        <w:t>如有未尽事宜，按照《</w:t>
      </w:r>
      <w:r>
        <w:rPr>
          <w:rFonts w:ascii="Arial" w:hAnsi="Arial" w:cs="Arial"/>
          <w:szCs w:val="21"/>
          <w:shd w:val="clear" w:color="auto" w:fill="FFFFFF"/>
        </w:rPr>
        <w:t>政府采购质疑和投诉办法</w:t>
      </w:r>
      <w:r>
        <w:rPr>
          <w:rFonts w:hint="eastAsia" w:ascii="宋体" w:hAnsi="宋体"/>
          <w:bCs/>
          <w:sz w:val="24"/>
        </w:rPr>
        <w:t>》（财政部94号令）执行。</w:t>
      </w:r>
    </w:p>
    <w:p>
      <w:pPr>
        <w:adjustRightInd w:val="0"/>
        <w:snapToGrid w:val="0"/>
        <w:spacing w:line="360" w:lineRule="auto"/>
        <w:rPr>
          <w:rFonts w:ascii="宋体" w:hAnsi="宋体" w:cs="仿宋_GB2312"/>
          <w:b/>
          <w:sz w:val="24"/>
        </w:rPr>
      </w:pPr>
      <w:r>
        <w:rPr>
          <w:rFonts w:hint="eastAsia" w:ascii="宋体" w:hAnsi="宋体" w:cs="仿宋_GB2312"/>
          <w:b/>
          <w:sz w:val="24"/>
        </w:rPr>
        <w:t>43.履约验收</w:t>
      </w:r>
    </w:p>
    <w:p>
      <w:pPr>
        <w:spacing w:line="360" w:lineRule="auto"/>
        <w:ind w:firstLine="240" w:firstLineChars="100"/>
        <w:rPr>
          <w:rFonts w:ascii="宋体" w:hAnsi="宋体"/>
          <w:bCs/>
          <w:sz w:val="24"/>
        </w:rPr>
      </w:pPr>
      <w:r>
        <w:rPr>
          <w:rFonts w:hint="eastAsia" w:ascii="宋体" w:hAnsi="宋体"/>
          <w:bCs/>
          <w:sz w:val="24"/>
        </w:rPr>
        <w:t>采购人应当及时对采购项目进行验收。采购人可以邀请参加本项目的其他投标人或者第三方机构参与验收。参与验收的投标人或者第三方机构的意见作为验收书的参考资料一并存档。</w:t>
      </w:r>
    </w:p>
    <w:p>
      <w:pPr>
        <w:spacing w:line="360" w:lineRule="auto"/>
        <w:ind w:firstLine="240" w:firstLineChars="100"/>
        <w:rPr>
          <w:rFonts w:ascii="宋体" w:hAnsi="宋体"/>
          <w:bCs/>
          <w:sz w:val="24"/>
        </w:rPr>
      </w:pPr>
      <w:r>
        <w:rPr>
          <w:rFonts w:hint="eastAsia" w:ascii="宋体" w:hAnsi="宋体"/>
          <w:bCs/>
          <w:sz w:val="24"/>
        </w:rPr>
        <w:t>采购人应当加强对中标人的履约管理，并按照采购合同约定，及时向中标人支付采购资金。对于中标人违反采购合同约定的行为，采购人应当及时处理，依法追究其违约责任。</w:t>
      </w:r>
    </w:p>
    <w:p>
      <w:pPr>
        <w:jc w:val="left"/>
        <w:rPr>
          <w:rFonts w:ascii="宋体" w:hAnsi="宋体"/>
          <w:b/>
          <w:bCs/>
          <w:sz w:val="24"/>
        </w:rPr>
      </w:pPr>
    </w:p>
    <w:p>
      <w:pPr>
        <w:snapToGrid w:val="0"/>
        <w:spacing w:before="312" w:beforeLines="100" w:after="156" w:afterLines="50" w:line="360" w:lineRule="auto"/>
        <w:jc w:val="center"/>
        <w:rPr>
          <w:rFonts w:ascii="宋体" w:hAnsi="宋体"/>
          <w:b/>
          <w:bCs/>
          <w:sz w:val="44"/>
        </w:rPr>
      </w:pPr>
    </w:p>
    <w:p>
      <w:pPr>
        <w:snapToGrid w:val="0"/>
        <w:spacing w:before="312" w:beforeLines="100" w:after="156" w:afterLines="50" w:line="360" w:lineRule="auto"/>
        <w:jc w:val="center"/>
        <w:rPr>
          <w:rFonts w:ascii="宋体" w:hAnsi="宋体"/>
          <w:b/>
          <w:bCs/>
          <w:sz w:val="44"/>
        </w:rPr>
      </w:pPr>
    </w:p>
    <w:p>
      <w:pPr>
        <w:snapToGrid w:val="0"/>
        <w:spacing w:before="312" w:beforeLines="100" w:after="156" w:afterLines="50" w:line="360" w:lineRule="auto"/>
        <w:jc w:val="center"/>
        <w:rPr>
          <w:rFonts w:ascii="宋体" w:hAnsi="宋体"/>
          <w:b/>
          <w:bCs/>
          <w:sz w:val="44"/>
        </w:rPr>
      </w:pPr>
    </w:p>
    <w:p>
      <w:pPr>
        <w:snapToGrid w:val="0"/>
        <w:spacing w:before="312" w:beforeLines="100" w:after="156" w:afterLines="50" w:line="360" w:lineRule="auto"/>
        <w:jc w:val="center"/>
        <w:rPr>
          <w:rFonts w:ascii="宋体" w:hAnsi="宋体"/>
          <w:b/>
          <w:bCs/>
          <w:sz w:val="44"/>
        </w:rPr>
      </w:pPr>
    </w:p>
    <w:p>
      <w:pPr>
        <w:snapToGrid w:val="0"/>
        <w:spacing w:before="312" w:beforeLines="100" w:after="156" w:afterLines="50" w:line="360" w:lineRule="auto"/>
        <w:jc w:val="center"/>
        <w:rPr>
          <w:rFonts w:ascii="宋体" w:hAnsi="宋体"/>
          <w:b/>
          <w:bCs/>
          <w:sz w:val="44"/>
        </w:rPr>
      </w:pPr>
    </w:p>
    <w:p>
      <w:pPr>
        <w:snapToGrid w:val="0"/>
        <w:spacing w:before="312" w:beforeLines="100" w:after="156" w:afterLines="50" w:line="360" w:lineRule="auto"/>
        <w:jc w:val="center"/>
        <w:rPr>
          <w:rFonts w:ascii="宋体" w:hAnsi="宋体"/>
          <w:b/>
          <w:bCs/>
          <w:sz w:val="44"/>
        </w:rPr>
      </w:pPr>
    </w:p>
    <w:p>
      <w:pPr>
        <w:snapToGrid w:val="0"/>
        <w:spacing w:before="312" w:beforeLines="100" w:after="156" w:afterLines="50" w:line="360" w:lineRule="auto"/>
        <w:jc w:val="center"/>
        <w:rPr>
          <w:rFonts w:ascii="宋体" w:hAnsi="宋体"/>
          <w:b/>
          <w:bCs/>
          <w:sz w:val="44"/>
        </w:rPr>
      </w:pPr>
    </w:p>
    <w:p>
      <w:pPr>
        <w:snapToGrid w:val="0"/>
        <w:spacing w:before="312" w:beforeLines="100" w:after="156" w:afterLines="50" w:line="360" w:lineRule="auto"/>
        <w:jc w:val="center"/>
        <w:rPr>
          <w:rFonts w:ascii="宋体" w:hAnsi="宋体"/>
          <w:b/>
          <w:bCs/>
          <w:sz w:val="44"/>
        </w:rPr>
      </w:pPr>
    </w:p>
    <w:p>
      <w:pPr>
        <w:pStyle w:val="2"/>
        <w:rPr>
          <w:rFonts w:ascii="宋体" w:hAnsi="宋体"/>
          <w:b w:val="0"/>
          <w:bCs w:val="0"/>
          <w:sz w:val="44"/>
        </w:rPr>
      </w:pPr>
      <w:bookmarkStart w:id="41" w:name="_Toc142914511"/>
    </w:p>
    <w:p>
      <w:pPr>
        <w:pStyle w:val="2"/>
        <w:rPr>
          <w:rFonts w:ascii="宋体" w:hAnsi="宋体"/>
          <w:b w:val="0"/>
          <w:bCs w:val="0"/>
          <w:sz w:val="44"/>
        </w:rPr>
      </w:pPr>
    </w:p>
    <w:p>
      <w:pPr>
        <w:pStyle w:val="2"/>
        <w:rPr>
          <w:rFonts w:ascii="宋体" w:hAnsi="宋体"/>
          <w:b w:val="0"/>
          <w:bCs w:val="0"/>
          <w:sz w:val="44"/>
        </w:rPr>
      </w:pPr>
    </w:p>
    <w:p>
      <w:pPr>
        <w:pStyle w:val="2"/>
        <w:rPr>
          <w:rFonts w:ascii="宋体" w:hAnsi="宋体"/>
          <w:b w:val="0"/>
          <w:bCs w:val="0"/>
          <w:sz w:val="44"/>
        </w:rPr>
      </w:pPr>
    </w:p>
    <w:p>
      <w:pPr>
        <w:pStyle w:val="2"/>
        <w:rPr>
          <w:rFonts w:ascii="宋体" w:hAnsi="宋体"/>
          <w:b w:val="0"/>
          <w:bCs w:val="0"/>
          <w:sz w:val="44"/>
        </w:rPr>
      </w:pPr>
    </w:p>
    <w:p>
      <w:pPr>
        <w:pStyle w:val="2"/>
        <w:rPr>
          <w:rFonts w:ascii="宋体" w:hAnsi="宋体"/>
          <w:b w:val="0"/>
          <w:bCs w:val="0"/>
          <w:sz w:val="44"/>
        </w:rPr>
      </w:pPr>
    </w:p>
    <w:p>
      <w:pPr>
        <w:pStyle w:val="2"/>
        <w:rPr>
          <w:rFonts w:ascii="宋体" w:hAnsi="宋体"/>
          <w:b w:val="0"/>
          <w:bCs w:val="0"/>
          <w:sz w:val="44"/>
        </w:rPr>
      </w:pPr>
    </w:p>
    <w:p>
      <w:pPr>
        <w:pStyle w:val="2"/>
        <w:rPr>
          <w:rFonts w:ascii="宋体" w:hAnsi="宋体"/>
          <w:b w:val="0"/>
          <w:bCs w:val="0"/>
          <w:sz w:val="44"/>
        </w:rPr>
      </w:pPr>
      <w:r>
        <w:rPr>
          <w:rFonts w:hint="eastAsia" w:ascii="宋体" w:hAnsi="宋体"/>
          <w:b w:val="0"/>
          <w:bCs w:val="0"/>
          <w:sz w:val="44"/>
        </w:rPr>
        <w:t xml:space="preserve">第二章 </w:t>
      </w:r>
      <w:r>
        <w:rPr>
          <w:rFonts w:hint="eastAsia"/>
          <w:b w:val="0"/>
          <w:sz w:val="44"/>
        </w:rPr>
        <w:t>合同条款及合同格式</w:t>
      </w:r>
      <w:bookmarkEnd w:id="41"/>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spacing w:line="360" w:lineRule="auto"/>
        <w:jc w:val="center"/>
        <w:rPr>
          <w:b/>
          <w:sz w:val="36"/>
          <w:szCs w:val="36"/>
        </w:rPr>
      </w:pPr>
      <w:r>
        <w:rPr>
          <w:rFonts w:hint="eastAsia"/>
          <w:b/>
          <w:sz w:val="36"/>
          <w:szCs w:val="36"/>
        </w:rPr>
        <w:t>合同条款及合同格式</w:t>
      </w:r>
    </w:p>
    <w:p>
      <w:pPr>
        <w:spacing w:line="360" w:lineRule="auto"/>
        <w:ind w:firstLine="480" w:firstLineChars="200"/>
        <w:rPr>
          <w:rFonts w:ascii="宋体" w:hAnsi="宋体" w:cs="宋体"/>
          <w:sz w:val="24"/>
        </w:rPr>
      </w:pPr>
      <w:r>
        <w:rPr>
          <w:rFonts w:hint="eastAsia" w:ascii="宋体" w:hAnsi="宋体" w:cs="宋体"/>
          <w:sz w:val="24"/>
        </w:rPr>
        <w:t>项目名称：</w:t>
      </w:r>
    </w:p>
    <w:p>
      <w:pPr>
        <w:spacing w:line="360" w:lineRule="auto"/>
        <w:ind w:firstLine="480" w:firstLineChars="200"/>
        <w:rPr>
          <w:rFonts w:ascii="宋体" w:hAnsi="宋体" w:cs="宋体"/>
          <w:sz w:val="24"/>
        </w:rPr>
      </w:pPr>
      <w:r>
        <w:rPr>
          <w:rFonts w:hint="eastAsia" w:ascii="宋体" w:hAnsi="宋体" w:cs="宋体"/>
          <w:sz w:val="24"/>
        </w:rPr>
        <w:t>采购编号：</w:t>
      </w:r>
    </w:p>
    <w:p>
      <w:pPr>
        <w:spacing w:line="360" w:lineRule="auto"/>
        <w:ind w:firstLine="480" w:firstLineChars="200"/>
        <w:rPr>
          <w:rFonts w:ascii="宋体" w:hAnsi="宋体" w:cs="宋体"/>
          <w:sz w:val="24"/>
        </w:rPr>
      </w:pPr>
      <w:r>
        <w:rPr>
          <w:rFonts w:hint="eastAsia" w:ascii="宋体" w:hAnsi="宋体" w:cs="宋体"/>
          <w:sz w:val="24"/>
        </w:rPr>
        <w:t>合同编号：</w:t>
      </w:r>
    </w:p>
    <w:p>
      <w:pPr>
        <w:spacing w:line="360" w:lineRule="auto"/>
        <w:ind w:firstLine="480" w:firstLineChars="200"/>
        <w:rPr>
          <w:rFonts w:ascii="宋体" w:hAnsi="宋体" w:cs="宋体"/>
          <w:sz w:val="24"/>
        </w:rPr>
      </w:pPr>
      <w:r>
        <w:rPr>
          <w:rFonts w:hint="eastAsia" w:ascii="宋体" w:hAnsi="宋体" w:cs="宋体"/>
          <w:sz w:val="24"/>
        </w:rPr>
        <w:t>甲方（买方）：</w:t>
      </w:r>
    </w:p>
    <w:p>
      <w:pPr>
        <w:spacing w:line="360" w:lineRule="auto"/>
        <w:ind w:firstLine="480" w:firstLineChars="200"/>
        <w:rPr>
          <w:rFonts w:ascii="宋体" w:hAnsi="宋体" w:cs="宋体"/>
          <w:sz w:val="24"/>
        </w:rPr>
      </w:pPr>
      <w:r>
        <w:rPr>
          <w:rFonts w:hint="eastAsia" w:ascii="宋体" w:hAnsi="宋体" w:cs="宋体"/>
          <w:sz w:val="24"/>
        </w:rPr>
        <w:t>乙方（卖方）：</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甲乙双方根据</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日大连市政府采购项目的采购结果，甲方接受乙方为本项目</w:t>
      </w:r>
      <w:r>
        <w:rPr>
          <w:rFonts w:hint="eastAsia" w:ascii="宋体" w:hAnsi="宋体" w:cs="宋体"/>
          <w:sz w:val="24"/>
          <w:u w:val="single"/>
        </w:rPr>
        <w:t xml:space="preserve">                            </w:t>
      </w:r>
      <w:r>
        <w:rPr>
          <w:rFonts w:hint="eastAsia" w:ascii="宋体" w:hAnsi="宋体" w:cs="宋体"/>
          <w:sz w:val="24"/>
        </w:rPr>
        <w:t>采购所做的投标文件，乙方必须完全按成交通知书中项目履行义务。甲乙双方同意签署本合同（以下简称合同）。</w:t>
      </w:r>
    </w:p>
    <w:p>
      <w:pPr>
        <w:spacing w:line="360" w:lineRule="auto"/>
        <w:ind w:left="482"/>
        <w:rPr>
          <w:rFonts w:ascii="宋体" w:hAnsi="宋体" w:cs="宋体"/>
          <w:b/>
          <w:bCs/>
          <w:sz w:val="24"/>
        </w:rPr>
      </w:pPr>
      <w:r>
        <w:rPr>
          <w:rFonts w:hint="eastAsia" w:ascii="宋体" w:hAnsi="宋体" w:cs="宋体"/>
          <w:b/>
          <w:sz w:val="24"/>
        </w:rPr>
        <w:t>一、</w:t>
      </w:r>
      <w:r>
        <w:rPr>
          <w:rFonts w:hint="eastAsia" w:ascii="宋体" w:hAnsi="宋体" w:cs="宋体"/>
          <w:b/>
          <w:bCs/>
          <w:sz w:val="24"/>
        </w:rPr>
        <w:t>合同范围：</w:t>
      </w:r>
    </w:p>
    <w:p>
      <w:pPr>
        <w:spacing w:line="360" w:lineRule="auto"/>
        <w:ind w:firstLine="465"/>
        <w:rPr>
          <w:rFonts w:ascii="宋体" w:hAnsi="宋体" w:cs="宋体"/>
          <w:sz w:val="24"/>
        </w:rPr>
      </w:pPr>
      <w:r>
        <w:rPr>
          <w:rFonts w:hint="eastAsia" w:ascii="宋体" w:hAnsi="宋体" w:cs="宋体"/>
          <w:b/>
          <w:sz w:val="24"/>
        </w:rPr>
        <w:t>二、</w:t>
      </w:r>
      <w:r>
        <w:rPr>
          <w:rFonts w:hint="eastAsia" w:ascii="宋体" w:hAnsi="宋体" w:cs="宋体"/>
          <w:b/>
          <w:kern w:val="0"/>
          <w:sz w:val="24"/>
        </w:rPr>
        <w:t>服务期限：</w:t>
      </w:r>
    </w:p>
    <w:p>
      <w:pPr>
        <w:pStyle w:val="10"/>
        <w:autoSpaceDE w:val="0"/>
        <w:autoSpaceDN w:val="0"/>
        <w:spacing w:line="360" w:lineRule="auto"/>
        <w:ind w:firstLine="482" w:firstLineChars="200"/>
        <w:jc w:val="left"/>
        <w:rPr>
          <w:rFonts w:ascii="宋体" w:hAnsi="宋体" w:cs="宋体"/>
          <w:b w:val="0"/>
          <w:bCs w:val="0"/>
          <w:sz w:val="24"/>
        </w:rPr>
      </w:pPr>
      <w:r>
        <w:rPr>
          <w:rFonts w:hint="eastAsia" w:ascii="宋体" w:hAnsi="宋体" w:cs="宋体"/>
          <w:kern w:val="0"/>
          <w:sz w:val="24"/>
        </w:rPr>
        <w:t>三、付款方式：</w:t>
      </w:r>
      <w:r>
        <w:rPr>
          <w:rFonts w:hint="eastAsia" w:ascii="宋体" w:hAnsi="宋体" w:cs="宋体"/>
          <w:b w:val="0"/>
          <w:bCs w:val="0"/>
          <w:sz w:val="24"/>
          <w:lang w:eastAsia="zh-CN"/>
        </w:rPr>
        <w:t>服务费以中标金额及考核指标按月计算，中标人向招标人提供上月服务费用清单，</w:t>
      </w:r>
      <w:r>
        <w:rPr>
          <w:rFonts w:hint="eastAsia" w:ascii="宋体" w:hAnsi="宋体" w:cs="宋体"/>
          <w:b w:val="0"/>
          <w:bCs w:val="0"/>
          <w:sz w:val="24"/>
        </w:rPr>
        <w:t>招标人核实确认后，根据每月最终实际发生额进行结算，具体付款时间以财政审定的拨款时间为准，招标人不承担因延迟付款所产生的利息等违约责任。</w:t>
      </w:r>
    </w:p>
    <w:p>
      <w:pPr>
        <w:spacing w:line="360" w:lineRule="auto"/>
        <w:ind w:firstLine="470" w:firstLineChars="196"/>
        <w:rPr>
          <w:rFonts w:ascii="宋体" w:hAnsi="宋体" w:cs="宋体"/>
          <w:b/>
          <w:kern w:val="0"/>
          <w:sz w:val="24"/>
        </w:rPr>
      </w:pPr>
      <w:r>
        <w:rPr>
          <w:rFonts w:hint="eastAsia" w:ascii="宋体" w:hAnsi="宋体" w:cs="宋体"/>
          <w:sz w:val="24"/>
        </w:rPr>
        <w:t>注：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spacing w:line="360" w:lineRule="auto"/>
        <w:ind w:firstLine="472" w:firstLineChars="196"/>
        <w:rPr>
          <w:rFonts w:ascii="宋体" w:hAnsi="宋体" w:cs="宋体"/>
          <w:b/>
          <w:kern w:val="0"/>
          <w:sz w:val="24"/>
        </w:rPr>
      </w:pPr>
      <w:r>
        <w:rPr>
          <w:rFonts w:hint="eastAsia" w:ascii="宋体" w:hAnsi="宋体" w:cs="宋体"/>
          <w:b/>
          <w:sz w:val="24"/>
        </w:rPr>
        <w:t>考核指标完成度付款规定</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 xml:space="preserve">1.考核的各项指标达不到考核要求的60%，中标人应按合同总价的 </w:t>
      </w:r>
      <w:r>
        <w:rPr>
          <w:rFonts w:hint="eastAsia" w:cs="宋体"/>
          <w:sz w:val="24"/>
        </w:rPr>
        <w:t>2</w:t>
      </w:r>
      <w:r>
        <w:rPr>
          <w:rFonts w:hint="eastAsia" w:ascii="宋体" w:hAnsi="宋体" w:cs="宋体"/>
          <w:sz w:val="24"/>
        </w:rPr>
        <w:t>0%的标准向采购人支付违约金，且采购人有权在应支付给中标人的合同费用中直接扣除相应款项作为违约金。</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2.考核的各项指标仅达到考核要求的60%（含）－80%（不含），中标人应按合同总价的</w:t>
      </w:r>
      <w:r>
        <w:rPr>
          <w:rFonts w:hint="eastAsia" w:cs="宋体"/>
          <w:sz w:val="24"/>
        </w:rPr>
        <w:t>1</w:t>
      </w:r>
      <w:r>
        <w:rPr>
          <w:rFonts w:hint="eastAsia" w:ascii="宋体" w:hAnsi="宋体" w:cs="宋体"/>
          <w:sz w:val="24"/>
        </w:rPr>
        <w:t>0%的标准向采购人支付违约金，且采购人有权在应支付给中标人的合同费用中直接扣除相应款项作为违约金。</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3.考核的各项指标仅达到考核要求的80%（含）－90%（不含），中标人应按合同总价的</w:t>
      </w:r>
      <w:r>
        <w:rPr>
          <w:rFonts w:hint="eastAsia" w:cs="宋体"/>
          <w:sz w:val="24"/>
        </w:rPr>
        <w:t>5</w:t>
      </w:r>
      <w:r>
        <w:rPr>
          <w:rFonts w:hint="eastAsia" w:ascii="宋体" w:hAnsi="宋体" w:cs="宋体"/>
          <w:sz w:val="24"/>
        </w:rPr>
        <w:t>%的标准向采购人支付违约金，且采购人有权在应支付给中标人的合同费用中直接扣除相应款项作为违约金。</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4.考核的各项指标仅达到考核要求的90%（含）－100%（不含），中标人应按合同总价的</w:t>
      </w:r>
      <w:r>
        <w:rPr>
          <w:rFonts w:hint="eastAsia" w:cs="宋体"/>
          <w:sz w:val="24"/>
        </w:rPr>
        <w:t>3</w:t>
      </w:r>
      <w:r>
        <w:rPr>
          <w:rFonts w:hint="eastAsia" w:ascii="宋体" w:hAnsi="宋体" w:cs="宋体"/>
          <w:sz w:val="24"/>
        </w:rPr>
        <w:t>%的标准向采购人支付违约金，且采购人有权在应支付给中标人的合同费用中直接扣除相应款项作为违约金。</w:t>
      </w:r>
    </w:p>
    <w:p>
      <w:pPr>
        <w:spacing w:line="360" w:lineRule="auto"/>
        <w:ind w:firstLine="470" w:firstLineChars="196"/>
        <w:rPr>
          <w:rFonts w:ascii="宋体" w:hAnsi="宋体" w:cs="宋体"/>
          <w:b/>
          <w:kern w:val="0"/>
          <w:sz w:val="24"/>
        </w:rPr>
      </w:pPr>
      <w:r>
        <w:rPr>
          <w:rFonts w:hint="eastAsia" w:ascii="宋体" w:hAnsi="宋体" w:cs="宋体"/>
          <w:sz w:val="24"/>
        </w:rPr>
        <w:t>5.考核的各项指标达到或高于考核要求的，不扣除经费。</w:t>
      </w:r>
    </w:p>
    <w:p>
      <w:pPr>
        <w:spacing w:line="360" w:lineRule="auto"/>
        <w:ind w:firstLine="482" w:firstLineChars="200"/>
        <w:rPr>
          <w:rFonts w:ascii="宋体" w:hAnsi="宋体" w:cs="宋体"/>
          <w:kern w:val="0"/>
          <w:sz w:val="24"/>
        </w:rPr>
      </w:pPr>
      <w:r>
        <w:rPr>
          <w:rFonts w:hint="eastAsia" w:ascii="宋体" w:hAnsi="宋体" w:cs="宋体"/>
          <w:b/>
          <w:kern w:val="0"/>
          <w:sz w:val="24"/>
        </w:rPr>
        <w:t>四、合同金额</w:t>
      </w:r>
      <w:r>
        <w:rPr>
          <w:rFonts w:hint="eastAsia" w:ascii="宋体" w:hAnsi="宋体" w:cs="宋体"/>
          <w:b/>
          <w:sz w:val="24"/>
        </w:rPr>
        <w:t>：</w:t>
      </w:r>
    </w:p>
    <w:p>
      <w:pPr>
        <w:spacing w:line="360" w:lineRule="auto"/>
        <w:ind w:firstLine="482" w:firstLineChars="200"/>
        <w:rPr>
          <w:rFonts w:ascii="宋体" w:hAnsi="宋体" w:cs="宋体"/>
          <w:b/>
          <w:sz w:val="24"/>
        </w:rPr>
      </w:pPr>
      <w:r>
        <w:rPr>
          <w:rFonts w:hint="eastAsia" w:ascii="宋体" w:hAnsi="宋体" w:cs="宋体"/>
          <w:b/>
          <w:sz w:val="24"/>
        </w:rPr>
        <w:t>五、服务内容及基本要求</w:t>
      </w:r>
    </w:p>
    <w:p>
      <w:pPr>
        <w:spacing w:line="360" w:lineRule="auto"/>
        <w:ind w:firstLine="480" w:firstLineChars="200"/>
        <w:rPr>
          <w:rFonts w:ascii="宋体" w:hAnsi="宋体" w:cs="宋体"/>
          <w:sz w:val="24"/>
        </w:rPr>
      </w:pPr>
      <w:r>
        <w:rPr>
          <w:rFonts w:hint="eastAsia" w:ascii="宋体" w:hAnsi="宋体" w:cs="宋体"/>
          <w:sz w:val="24"/>
        </w:rPr>
        <w:t>由于服务的技术性所决定，不能对此次采购项目的详尽内容一一列举，具体事宜，应服从招标人的解释说明。</w:t>
      </w:r>
    </w:p>
    <w:p>
      <w:pPr>
        <w:spacing w:line="360" w:lineRule="auto"/>
        <w:ind w:firstLine="482" w:firstLineChars="200"/>
        <w:rPr>
          <w:rFonts w:ascii="宋体" w:hAnsi="宋体" w:cs="宋体"/>
          <w:sz w:val="24"/>
        </w:rPr>
      </w:pPr>
      <w:r>
        <w:rPr>
          <w:rFonts w:hint="eastAsia" w:ascii="宋体" w:hAnsi="宋体"/>
          <w:b/>
          <w:bCs/>
          <w:sz w:val="24"/>
        </w:rPr>
        <w:t>（一）服务内容及要求：</w:t>
      </w:r>
    </w:p>
    <w:p>
      <w:pPr>
        <w:spacing w:line="360" w:lineRule="auto"/>
        <w:ind w:firstLine="482" w:firstLineChars="200"/>
        <w:rPr>
          <w:rFonts w:ascii="宋体" w:hAnsi="宋体" w:cs="宋体"/>
          <w:sz w:val="24"/>
        </w:rPr>
      </w:pPr>
      <w:r>
        <w:rPr>
          <w:rFonts w:hint="eastAsia" w:ascii="宋体" w:hAnsi="宋体" w:cs="宋体"/>
          <w:b/>
          <w:bCs/>
          <w:sz w:val="24"/>
        </w:rPr>
        <w:t>（二）服务方式：</w:t>
      </w:r>
    </w:p>
    <w:p>
      <w:pPr>
        <w:spacing w:line="360" w:lineRule="auto"/>
        <w:ind w:firstLine="482" w:firstLineChars="200"/>
        <w:rPr>
          <w:b/>
          <w:bCs/>
        </w:rPr>
      </w:pPr>
      <w:r>
        <w:rPr>
          <w:rFonts w:hint="eastAsia"/>
          <w:b/>
          <w:sz w:val="24"/>
        </w:rPr>
        <w:t>六、双方确定因履行本合同应遵守的保密义务如下：</w:t>
      </w:r>
    </w:p>
    <w:p>
      <w:pPr>
        <w:spacing w:line="360" w:lineRule="auto"/>
        <w:ind w:firstLine="480" w:firstLineChars="200"/>
        <w:rPr>
          <w:rFonts w:ascii="宋体" w:hAnsi="宋体" w:cs="宋体"/>
          <w:sz w:val="24"/>
        </w:rPr>
      </w:pPr>
      <w:r>
        <w:rPr>
          <w:rFonts w:hint="eastAsia" w:ascii="宋体" w:hAnsi="宋体" w:cs="宋体"/>
          <w:sz w:val="24"/>
        </w:rPr>
        <w:t>甲方：提供项目相关资料及乙方项目中涉及或提供的相关信息资料。</w:t>
      </w:r>
    </w:p>
    <w:p>
      <w:pPr>
        <w:spacing w:line="360" w:lineRule="auto"/>
        <w:ind w:firstLine="480" w:firstLineChars="200"/>
        <w:rPr>
          <w:rFonts w:ascii="宋体" w:hAnsi="宋体" w:cs="宋体"/>
          <w:sz w:val="24"/>
        </w:rPr>
      </w:pPr>
      <w:r>
        <w:rPr>
          <w:rFonts w:hint="eastAsia" w:ascii="宋体" w:hAnsi="宋体" w:cs="宋体"/>
          <w:sz w:val="24"/>
        </w:rPr>
        <w:t>乙方：甲方提供给乙方的资料，编制完成的报告，未经甲方允许不得公开。</w:t>
      </w:r>
    </w:p>
    <w:p>
      <w:pPr>
        <w:spacing w:line="360" w:lineRule="auto"/>
        <w:ind w:firstLine="480" w:firstLineChars="200"/>
        <w:rPr>
          <w:rFonts w:ascii="宋体" w:hAnsi="宋体" w:cs="宋体"/>
          <w:sz w:val="24"/>
        </w:rPr>
      </w:pPr>
      <w:r>
        <w:rPr>
          <w:rFonts w:hint="eastAsia" w:ascii="宋体" w:hAnsi="宋体" w:cs="宋体"/>
          <w:sz w:val="24"/>
        </w:rPr>
        <w:t>1.涉密人员范围：甲、乙双方项目成员。</w:t>
      </w:r>
    </w:p>
    <w:p>
      <w:pPr>
        <w:spacing w:line="360" w:lineRule="auto"/>
        <w:ind w:firstLine="480" w:firstLineChars="200"/>
        <w:rPr>
          <w:rFonts w:ascii="宋体" w:hAnsi="宋体" w:cs="宋体"/>
          <w:sz w:val="24"/>
        </w:rPr>
      </w:pPr>
      <w:r>
        <w:rPr>
          <w:rFonts w:hint="eastAsia" w:ascii="宋体" w:hAnsi="宋体" w:cs="宋体"/>
          <w:sz w:val="24"/>
        </w:rPr>
        <w:t>2.泄密责任：根据国家相关部门规定条款办理。</w:t>
      </w:r>
    </w:p>
    <w:p>
      <w:pPr>
        <w:spacing w:line="360" w:lineRule="auto"/>
        <w:ind w:firstLine="482" w:firstLineChars="200"/>
        <w:rPr>
          <w:rFonts w:ascii="宋体" w:hAnsi="宋体" w:cs="宋体"/>
          <w:b/>
          <w:sz w:val="24"/>
        </w:rPr>
      </w:pPr>
      <w:r>
        <w:rPr>
          <w:rFonts w:hint="eastAsia" w:ascii="宋体" w:hAnsi="宋体" w:cs="宋体"/>
          <w:b/>
          <w:sz w:val="24"/>
        </w:rPr>
        <w:t>七、违约责任</w:t>
      </w:r>
    </w:p>
    <w:p>
      <w:pPr>
        <w:spacing w:line="440" w:lineRule="exact"/>
        <w:ind w:firstLine="480" w:firstLineChars="200"/>
        <w:rPr>
          <w:rFonts w:ascii="宋体" w:hAnsi="宋体"/>
          <w:sz w:val="24"/>
        </w:rPr>
      </w:pPr>
      <w:r>
        <w:rPr>
          <w:rFonts w:hint="eastAsia" w:ascii="宋体" w:hAnsi="宋体"/>
          <w:sz w:val="24"/>
        </w:rPr>
        <w:t>乙方逾期开展服务的，乙方应按逾期服务总额每日千分之六向甲方支付违约金，由甲方从待付款中扣除。逾期超过约定日期十个工作日不能服务的，甲方可解除本合同。乙方因逾期服务或因其他违约行为导致甲方解除合同的，乙方应向甲方支付合同总值百分之五的违约金，如造成甲方损失超过违约金的，超出部分由乙方继续承担赔偿责任。</w:t>
      </w:r>
    </w:p>
    <w:p>
      <w:pPr>
        <w:pStyle w:val="10"/>
        <w:autoSpaceDE w:val="0"/>
        <w:autoSpaceDN w:val="0"/>
        <w:spacing w:line="360" w:lineRule="auto"/>
        <w:ind w:firstLine="482" w:firstLineChars="200"/>
        <w:jc w:val="left"/>
        <w:rPr>
          <w:rFonts w:ascii="宋体" w:hAnsi="宋体" w:cs="宋体"/>
          <w:sz w:val="24"/>
        </w:rPr>
      </w:pPr>
      <w:r>
        <w:rPr>
          <w:rFonts w:hint="eastAsia" w:cs="宋体"/>
          <w:sz w:val="24"/>
        </w:rPr>
        <w:t>1.</w:t>
      </w:r>
      <w:r>
        <w:rPr>
          <w:rFonts w:hint="eastAsia" w:ascii="宋体" w:hAnsi="宋体" w:cs="宋体"/>
          <w:sz w:val="24"/>
        </w:rPr>
        <w:t>对于</w:t>
      </w:r>
      <w:r>
        <w:rPr>
          <w:rFonts w:hint="eastAsia" w:cs="宋体"/>
          <w:sz w:val="24"/>
        </w:rPr>
        <w:t>乙方</w:t>
      </w:r>
      <w:r>
        <w:rPr>
          <w:rFonts w:hint="eastAsia" w:ascii="宋体" w:hAnsi="宋体" w:cs="宋体"/>
          <w:sz w:val="24"/>
        </w:rPr>
        <w:t>或其委派服务人员违反法律法规规定或者合同约定时，导致本项目合同解除或无法履行的，</w:t>
      </w:r>
      <w:r>
        <w:rPr>
          <w:rFonts w:hint="eastAsia" w:cs="宋体"/>
          <w:sz w:val="24"/>
        </w:rPr>
        <w:t>乙方</w:t>
      </w:r>
      <w:r>
        <w:rPr>
          <w:rFonts w:hint="eastAsia" w:ascii="宋体" w:hAnsi="宋体" w:cs="宋体"/>
          <w:sz w:val="24"/>
        </w:rPr>
        <w:t>应向</w:t>
      </w:r>
      <w:r>
        <w:rPr>
          <w:rFonts w:hint="eastAsia" w:cs="宋体"/>
          <w:sz w:val="24"/>
        </w:rPr>
        <w:t>甲方</w:t>
      </w:r>
      <w:r>
        <w:rPr>
          <w:rFonts w:hint="eastAsia" w:ascii="宋体" w:hAnsi="宋体" w:cs="宋体"/>
          <w:sz w:val="24"/>
        </w:rPr>
        <w:t>支付合同总价20%的违约金，如该违约金不足以赔偿由此给</w:t>
      </w:r>
      <w:r>
        <w:rPr>
          <w:rFonts w:hint="eastAsia" w:cs="宋体"/>
          <w:sz w:val="24"/>
        </w:rPr>
        <w:t>甲方</w:t>
      </w:r>
      <w:r>
        <w:rPr>
          <w:rFonts w:hint="eastAsia" w:ascii="宋体" w:hAnsi="宋体" w:cs="宋体"/>
          <w:sz w:val="24"/>
        </w:rPr>
        <w:t>造成的经济损失时，还应当赔偿全部损失。</w:t>
      </w:r>
    </w:p>
    <w:p>
      <w:pPr>
        <w:pStyle w:val="10"/>
        <w:autoSpaceDE w:val="0"/>
        <w:autoSpaceDN w:val="0"/>
        <w:spacing w:line="360" w:lineRule="auto"/>
        <w:ind w:firstLine="482" w:firstLineChars="200"/>
        <w:jc w:val="left"/>
        <w:rPr>
          <w:rFonts w:ascii="宋体" w:hAnsi="宋体" w:cs="宋体"/>
          <w:sz w:val="24"/>
        </w:rPr>
      </w:pPr>
      <w:r>
        <w:rPr>
          <w:rFonts w:hint="eastAsia" w:cs="宋体"/>
          <w:sz w:val="24"/>
        </w:rPr>
        <w:t>2.</w:t>
      </w:r>
      <w:r>
        <w:rPr>
          <w:rFonts w:hint="eastAsia" w:ascii="宋体" w:hAnsi="宋体" w:cs="宋体"/>
          <w:sz w:val="24"/>
        </w:rPr>
        <w:t>如因</w:t>
      </w:r>
      <w:r>
        <w:rPr>
          <w:rFonts w:hint="eastAsia" w:cs="宋体"/>
          <w:sz w:val="24"/>
        </w:rPr>
        <w:t>乙方</w:t>
      </w:r>
      <w:r>
        <w:rPr>
          <w:rFonts w:hint="eastAsia" w:ascii="宋体" w:hAnsi="宋体" w:cs="宋体"/>
          <w:sz w:val="24"/>
        </w:rPr>
        <w:t>故意或重大过失给</w:t>
      </w:r>
      <w:r>
        <w:rPr>
          <w:rFonts w:hint="eastAsia" w:cs="宋体"/>
          <w:sz w:val="24"/>
        </w:rPr>
        <w:t>甲方</w:t>
      </w:r>
      <w:r>
        <w:rPr>
          <w:rFonts w:hint="eastAsia" w:ascii="宋体" w:hAnsi="宋体" w:cs="宋体"/>
          <w:sz w:val="24"/>
        </w:rPr>
        <w:t>造成损失，</w:t>
      </w:r>
      <w:r>
        <w:rPr>
          <w:rFonts w:hint="eastAsia" w:cs="宋体"/>
          <w:sz w:val="24"/>
        </w:rPr>
        <w:t>甲方</w:t>
      </w:r>
      <w:r>
        <w:rPr>
          <w:rFonts w:hint="eastAsia" w:ascii="宋体" w:hAnsi="宋体" w:cs="宋体"/>
          <w:sz w:val="24"/>
        </w:rPr>
        <w:t>有权要求</w:t>
      </w:r>
      <w:r>
        <w:rPr>
          <w:rFonts w:hint="eastAsia" w:cs="宋体"/>
          <w:sz w:val="24"/>
        </w:rPr>
        <w:t>乙方</w:t>
      </w:r>
      <w:r>
        <w:rPr>
          <w:rFonts w:hint="eastAsia" w:ascii="宋体" w:hAnsi="宋体" w:cs="宋体"/>
          <w:sz w:val="24"/>
        </w:rPr>
        <w:t>予以赔偿。</w:t>
      </w:r>
    </w:p>
    <w:p>
      <w:pPr>
        <w:pStyle w:val="10"/>
        <w:autoSpaceDE w:val="0"/>
        <w:autoSpaceDN w:val="0"/>
        <w:spacing w:line="360" w:lineRule="auto"/>
        <w:ind w:firstLine="482" w:firstLineChars="200"/>
        <w:jc w:val="left"/>
        <w:rPr>
          <w:rFonts w:ascii="宋体" w:hAnsi="宋体" w:cs="宋体"/>
          <w:sz w:val="24"/>
        </w:rPr>
      </w:pPr>
      <w:r>
        <w:rPr>
          <w:rFonts w:hint="eastAsia" w:cs="宋体"/>
          <w:sz w:val="24"/>
        </w:rPr>
        <w:t>3.</w:t>
      </w:r>
      <w:r>
        <w:rPr>
          <w:rFonts w:hint="eastAsia" w:ascii="宋体" w:hAnsi="宋体" w:cs="宋体"/>
          <w:sz w:val="24"/>
        </w:rPr>
        <w:t>本次中标的服务岗位原则上工作时限为一年，但在下列情况下除外：</w:t>
      </w:r>
    </w:p>
    <w:p>
      <w:pPr>
        <w:pStyle w:val="10"/>
        <w:autoSpaceDE w:val="0"/>
        <w:autoSpaceDN w:val="0"/>
        <w:spacing w:line="360" w:lineRule="auto"/>
        <w:ind w:firstLine="482" w:firstLineChars="200"/>
        <w:jc w:val="left"/>
        <w:rPr>
          <w:rFonts w:ascii="宋体" w:hAnsi="宋体" w:cs="宋体"/>
          <w:sz w:val="24"/>
        </w:rPr>
      </w:pPr>
      <w:r>
        <w:rPr>
          <w:rFonts w:hint="eastAsia" w:cs="宋体"/>
          <w:sz w:val="24"/>
        </w:rPr>
        <w:t>（</w:t>
      </w:r>
      <w:r>
        <w:rPr>
          <w:rFonts w:hint="eastAsia" w:ascii="宋体" w:hAnsi="宋体" w:cs="宋体"/>
          <w:sz w:val="24"/>
        </w:rPr>
        <w:t>1）</w:t>
      </w:r>
      <w:r>
        <w:rPr>
          <w:rFonts w:hint="eastAsia" w:cs="宋体"/>
          <w:sz w:val="24"/>
        </w:rPr>
        <w:t>甲方</w:t>
      </w:r>
      <w:r>
        <w:rPr>
          <w:rFonts w:hint="eastAsia" w:ascii="宋体" w:hAnsi="宋体" w:cs="宋体"/>
          <w:sz w:val="24"/>
        </w:rPr>
        <w:t>要求更换的；</w:t>
      </w:r>
    </w:p>
    <w:p>
      <w:pPr>
        <w:pStyle w:val="10"/>
        <w:autoSpaceDE w:val="0"/>
        <w:autoSpaceDN w:val="0"/>
        <w:spacing w:line="360" w:lineRule="auto"/>
        <w:ind w:firstLine="478" w:firstLineChars="200"/>
        <w:jc w:val="left"/>
        <w:rPr>
          <w:rFonts w:ascii="宋体" w:hAnsi="宋体" w:cs="宋体"/>
          <w:spacing w:val="-106"/>
          <w:sz w:val="24"/>
        </w:rPr>
      </w:pPr>
      <w:r>
        <w:rPr>
          <w:rFonts w:hint="eastAsia" w:cs="宋体"/>
          <w:spacing w:val="-1"/>
          <w:sz w:val="24"/>
        </w:rPr>
        <w:t>（</w:t>
      </w:r>
      <w:r>
        <w:rPr>
          <w:rFonts w:hint="eastAsia" w:ascii="宋体" w:hAnsi="宋体" w:cs="宋体"/>
          <w:spacing w:val="-1"/>
          <w:sz w:val="24"/>
        </w:rPr>
        <w:t>2</w:t>
      </w:r>
      <w:r>
        <w:rPr>
          <w:rFonts w:hint="eastAsia" w:cs="宋体"/>
          <w:spacing w:val="-3"/>
          <w:sz w:val="24"/>
        </w:rPr>
        <w:t>）</w:t>
      </w:r>
      <w:r>
        <w:rPr>
          <w:rFonts w:hint="eastAsia" w:cs="宋体"/>
          <w:sz w:val="24"/>
        </w:rPr>
        <w:t>甲方</w:t>
      </w:r>
      <w:r>
        <w:rPr>
          <w:rFonts w:hint="eastAsia" w:ascii="宋体" w:hAnsi="宋体" w:cs="宋体"/>
          <w:spacing w:val="-3"/>
          <w:sz w:val="24"/>
        </w:rPr>
        <w:t>经过评估认为要调整具体服务岗位的</w:t>
      </w:r>
      <w:r>
        <w:rPr>
          <w:rFonts w:hint="eastAsia" w:ascii="宋体" w:hAnsi="宋体" w:cs="宋体"/>
          <w:sz w:val="24"/>
        </w:rPr>
        <w:t>（</w:t>
      </w:r>
      <w:r>
        <w:rPr>
          <w:rFonts w:hint="eastAsia" w:ascii="宋体" w:hAnsi="宋体" w:cs="宋体"/>
          <w:spacing w:val="-3"/>
          <w:sz w:val="24"/>
        </w:rPr>
        <w:t>但原则上要从新增服务岗位中进行对等补充</w:t>
      </w:r>
      <w:r>
        <w:rPr>
          <w:rFonts w:hint="eastAsia" w:ascii="宋体" w:hAnsi="宋体" w:cs="宋体"/>
          <w:spacing w:val="-106"/>
          <w:sz w:val="24"/>
        </w:rPr>
        <w:t>）</w:t>
      </w:r>
    </w:p>
    <w:p>
      <w:pPr>
        <w:spacing w:line="440" w:lineRule="exact"/>
        <w:ind w:firstLine="480" w:firstLineChars="200"/>
        <w:rPr>
          <w:rFonts w:ascii="宋体" w:hAnsi="宋体"/>
          <w:sz w:val="24"/>
        </w:rPr>
      </w:pPr>
      <w:r>
        <w:rPr>
          <w:rFonts w:hint="eastAsia" w:ascii="宋体" w:hAnsi="宋体" w:cs="宋体"/>
          <w:sz w:val="24"/>
        </w:rPr>
        <w:t>（3</w:t>
      </w:r>
      <w:r>
        <w:rPr>
          <w:rFonts w:hint="eastAsia" w:cs="宋体"/>
          <w:sz w:val="24"/>
        </w:rPr>
        <w:t>）</w:t>
      </w:r>
      <w:r>
        <w:rPr>
          <w:rFonts w:hint="eastAsia" w:ascii="宋体" w:hAnsi="宋体" w:cs="宋体"/>
          <w:sz w:val="24"/>
        </w:rPr>
        <w:t>乙方提出终止聘用的。</w:t>
      </w:r>
    </w:p>
    <w:p>
      <w:pPr>
        <w:spacing w:line="360" w:lineRule="auto"/>
        <w:ind w:firstLine="482" w:firstLineChars="200"/>
        <w:rPr>
          <w:rFonts w:ascii="宋体" w:hAnsi="宋体" w:cs="宋体"/>
          <w:b/>
          <w:sz w:val="24"/>
        </w:rPr>
      </w:pPr>
      <w:r>
        <w:rPr>
          <w:rFonts w:hint="eastAsia" w:ascii="宋体" w:hAnsi="宋体" w:cs="宋体"/>
          <w:b/>
          <w:sz w:val="24"/>
        </w:rPr>
        <w:t>八、不可抗力事件处理</w:t>
      </w:r>
    </w:p>
    <w:p>
      <w:pPr>
        <w:spacing w:line="360" w:lineRule="auto"/>
        <w:ind w:firstLine="480" w:firstLineChars="200"/>
        <w:rPr>
          <w:rFonts w:ascii="宋体" w:hAnsi="宋体" w:cs="宋体"/>
          <w:sz w:val="24"/>
        </w:rPr>
      </w:pPr>
      <w:r>
        <w:rPr>
          <w:rFonts w:hint="eastAsia" w:ascii="宋体" w:hAnsi="宋体" w:cs="宋体"/>
          <w:sz w:val="24"/>
        </w:rPr>
        <w:t>（一）在合同有效期内，任何一方因不可抗力事件导致不能履行合同，则合同履行期可延长，其延长期与不可抗力影响期相同。</w:t>
      </w:r>
    </w:p>
    <w:p>
      <w:pPr>
        <w:spacing w:line="360" w:lineRule="auto"/>
        <w:ind w:firstLine="480" w:firstLineChars="200"/>
        <w:rPr>
          <w:rFonts w:ascii="宋体" w:hAnsi="宋体" w:cs="宋体"/>
          <w:sz w:val="24"/>
        </w:rPr>
      </w:pPr>
      <w:r>
        <w:rPr>
          <w:rFonts w:hint="eastAsia" w:ascii="宋体" w:hAnsi="宋体" w:cs="宋体"/>
          <w:sz w:val="24"/>
        </w:rPr>
        <w:t>（二）不可抗力事件发生后，应立即通知对方，并寄送有关权威机构出具的证明。</w:t>
      </w:r>
    </w:p>
    <w:p>
      <w:pPr>
        <w:spacing w:line="360" w:lineRule="auto"/>
        <w:ind w:firstLine="480" w:firstLineChars="200"/>
        <w:rPr>
          <w:rFonts w:ascii="宋体" w:hAnsi="宋体" w:cs="宋体"/>
          <w:sz w:val="24"/>
        </w:rPr>
      </w:pPr>
      <w:r>
        <w:rPr>
          <w:rFonts w:hint="eastAsia" w:ascii="宋体" w:hAnsi="宋体" w:cs="宋体"/>
          <w:sz w:val="24"/>
        </w:rPr>
        <w:t>（三）不可抗力事件延续120天以上，双方应通过友好协商，确定是否继续履行合同。</w:t>
      </w:r>
    </w:p>
    <w:p>
      <w:pPr>
        <w:spacing w:line="360" w:lineRule="auto"/>
        <w:ind w:firstLine="482" w:firstLineChars="200"/>
        <w:rPr>
          <w:rFonts w:ascii="宋体" w:hAnsi="宋体" w:cs="宋体"/>
          <w:b/>
          <w:sz w:val="24"/>
        </w:rPr>
      </w:pPr>
      <w:r>
        <w:rPr>
          <w:rFonts w:hint="eastAsia" w:ascii="宋体" w:hAnsi="宋体" w:cs="宋体"/>
          <w:b/>
          <w:sz w:val="24"/>
        </w:rPr>
        <w:t>九、争议的解决</w:t>
      </w:r>
    </w:p>
    <w:p>
      <w:pPr>
        <w:spacing w:line="360" w:lineRule="auto"/>
        <w:ind w:firstLine="480" w:firstLineChars="200"/>
        <w:rPr>
          <w:rFonts w:ascii="宋体" w:hAnsi="宋体" w:cs="宋体"/>
          <w:sz w:val="24"/>
        </w:rPr>
      </w:pPr>
      <w:r>
        <w:rPr>
          <w:rFonts w:hint="eastAsia" w:ascii="宋体" w:hAnsi="宋体" w:cs="宋体"/>
          <w:sz w:val="24"/>
        </w:rPr>
        <w:t>在履行合同过程中发生争议时，双方当事人协商解决，协商不成的，采用下列第</w:t>
      </w:r>
      <w:r>
        <w:rPr>
          <w:rFonts w:hint="eastAsia" w:ascii="宋体" w:hAnsi="宋体" w:cs="宋体"/>
          <w:sz w:val="24"/>
          <w:u w:val="single"/>
        </w:rPr>
        <w:t xml:space="preserve">   2  </w:t>
      </w:r>
      <w:r>
        <w:rPr>
          <w:rFonts w:hint="eastAsia" w:ascii="宋体" w:hAnsi="宋体" w:cs="宋体"/>
          <w:sz w:val="24"/>
        </w:rPr>
        <w:t>种方法解决。</w:t>
      </w:r>
    </w:p>
    <w:p>
      <w:pPr>
        <w:spacing w:line="360" w:lineRule="auto"/>
        <w:ind w:firstLine="480" w:firstLineChars="200"/>
        <w:rPr>
          <w:rFonts w:ascii="宋体" w:hAnsi="宋体" w:cs="宋体"/>
          <w:sz w:val="24"/>
        </w:rPr>
      </w:pPr>
      <w:r>
        <w:rPr>
          <w:rFonts w:hint="eastAsia" w:ascii="宋体" w:hAnsi="宋体" w:cs="宋体"/>
          <w:sz w:val="24"/>
        </w:rPr>
        <w:t>1.提交大连市仲裁委员会仲裁；</w:t>
      </w:r>
    </w:p>
    <w:p>
      <w:pPr>
        <w:spacing w:line="360" w:lineRule="auto"/>
        <w:ind w:firstLine="480" w:firstLineChars="200"/>
        <w:rPr>
          <w:rFonts w:ascii="宋体" w:hAnsi="宋体" w:cs="宋体"/>
          <w:sz w:val="24"/>
        </w:rPr>
      </w:pPr>
      <w:r>
        <w:rPr>
          <w:rFonts w:hint="eastAsia" w:ascii="宋体" w:hAnsi="宋体" w:cs="宋体"/>
          <w:sz w:val="24"/>
        </w:rPr>
        <w:t>2.依法向采购人所在地人民法院提起诉讼。</w:t>
      </w:r>
    </w:p>
    <w:p>
      <w:pPr>
        <w:spacing w:line="360" w:lineRule="auto"/>
        <w:ind w:firstLine="482" w:firstLineChars="200"/>
        <w:rPr>
          <w:rFonts w:ascii="宋体" w:hAnsi="宋体" w:cs="宋体"/>
          <w:b/>
          <w:sz w:val="24"/>
        </w:rPr>
      </w:pPr>
      <w:r>
        <w:rPr>
          <w:rFonts w:hint="eastAsia" w:ascii="宋体" w:hAnsi="宋体" w:cs="宋体"/>
          <w:b/>
          <w:sz w:val="24"/>
        </w:rPr>
        <w:t>十、合同生效及其它</w:t>
      </w:r>
    </w:p>
    <w:p>
      <w:pPr>
        <w:spacing w:line="360" w:lineRule="auto"/>
        <w:ind w:firstLine="480" w:firstLineChars="200"/>
        <w:rPr>
          <w:rFonts w:ascii="宋体" w:hAnsi="宋体" w:cs="宋体"/>
          <w:sz w:val="24"/>
        </w:rPr>
      </w:pPr>
      <w:r>
        <w:rPr>
          <w:rFonts w:hint="eastAsia" w:ascii="宋体" w:hAnsi="宋体" w:cs="宋体"/>
          <w:sz w:val="24"/>
        </w:rPr>
        <w:t>（一）合同经双方签字盖章后生效。</w:t>
      </w:r>
    </w:p>
    <w:p>
      <w:pPr>
        <w:spacing w:line="360" w:lineRule="auto"/>
        <w:ind w:firstLine="480" w:firstLineChars="200"/>
        <w:rPr>
          <w:rFonts w:ascii="宋体" w:hAnsi="宋体" w:cs="宋体"/>
          <w:sz w:val="24"/>
        </w:rPr>
      </w:pPr>
      <w:r>
        <w:rPr>
          <w:rFonts w:hint="eastAsia" w:ascii="宋体" w:hAnsi="宋体" w:cs="宋体"/>
          <w:sz w:val="24"/>
        </w:rPr>
        <w:t>（二）下述合同附件为本合同不可分割的部分并与本合同具有同等效力：</w:t>
      </w:r>
    </w:p>
    <w:p>
      <w:pPr>
        <w:spacing w:line="360" w:lineRule="auto"/>
        <w:ind w:firstLine="720" w:firstLineChars="300"/>
        <w:rPr>
          <w:rFonts w:ascii="宋体" w:hAnsi="宋体" w:cs="宋体"/>
          <w:sz w:val="24"/>
        </w:rPr>
      </w:pPr>
      <w:r>
        <w:rPr>
          <w:rFonts w:hint="eastAsia" w:ascii="宋体" w:hAnsi="宋体" w:cs="宋体"/>
          <w:sz w:val="24"/>
        </w:rPr>
        <w:t>1.服务清单和分项价格表</w:t>
      </w:r>
    </w:p>
    <w:p>
      <w:pPr>
        <w:spacing w:line="360" w:lineRule="auto"/>
        <w:ind w:firstLine="720" w:firstLineChars="300"/>
        <w:rPr>
          <w:rFonts w:ascii="宋体" w:hAnsi="宋体" w:cs="宋体"/>
          <w:sz w:val="24"/>
        </w:rPr>
      </w:pPr>
      <w:r>
        <w:rPr>
          <w:rFonts w:hint="eastAsia" w:ascii="宋体" w:hAnsi="宋体" w:cs="宋体"/>
          <w:sz w:val="24"/>
        </w:rPr>
        <w:t>2.服务方案</w:t>
      </w:r>
    </w:p>
    <w:p>
      <w:pPr>
        <w:spacing w:line="360" w:lineRule="auto"/>
        <w:ind w:firstLine="720" w:firstLineChars="300"/>
        <w:rPr>
          <w:rFonts w:ascii="宋体" w:hAnsi="宋体" w:cs="宋体"/>
          <w:sz w:val="24"/>
        </w:rPr>
      </w:pPr>
      <w:r>
        <w:rPr>
          <w:rFonts w:hint="eastAsia" w:ascii="宋体" w:hAnsi="宋体" w:cs="宋体"/>
          <w:sz w:val="24"/>
        </w:rPr>
        <w:t>3.乙方投标文件的内容及澄清内容</w:t>
      </w:r>
    </w:p>
    <w:p>
      <w:pPr>
        <w:spacing w:line="360" w:lineRule="auto"/>
        <w:ind w:firstLine="720" w:firstLineChars="300"/>
        <w:rPr>
          <w:rFonts w:ascii="宋体" w:hAnsi="宋体" w:cs="宋体"/>
          <w:sz w:val="24"/>
        </w:rPr>
      </w:pPr>
      <w:r>
        <w:rPr>
          <w:rFonts w:hint="eastAsia" w:ascii="宋体" w:hAnsi="宋体" w:cs="宋体"/>
          <w:sz w:val="24"/>
        </w:rPr>
        <w:t>4.其他与本合同相关的单据</w:t>
      </w:r>
    </w:p>
    <w:p>
      <w:pPr>
        <w:spacing w:line="360" w:lineRule="auto"/>
        <w:ind w:firstLine="720" w:firstLineChars="300"/>
        <w:rPr>
          <w:rFonts w:ascii="宋体" w:hAnsi="宋体" w:cs="宋体"/>
          <w:sz w:val="24"/>
        </w:rPr>
      </w:pPr>
      <w:r>
        <w:rPr>
          <w:rFonts w:hint="eastAsia" w:ascii="宋体" w:hAnsi="宋体" w:cs="宋体"/>
          <w:sz w:val="24"/>
        </w:rPr>
        <w:t>5.本合同适用的特殊条款</w:t>
      </w:r>
    </w:p>
    <w:p>
      <w:pPr>
        <w:spacing w:line="360" w:lineRule="auto"/>
        <w:ind w:firstLine="720" w:firstLineChars="300"/>
        <w:rPr>
          <w:rFonts w:ascii="宋体" w:hAnsi="宋体" w:cs="宋体"/>
          <w:sz w:val="24"/>
        </w:rPr>
      </w:pPr>
      <w:r>
        <w:rPr>
          <w:rFonts w:hint="eastAsia" w:ascii="宋体" w:hAnsi="宋体" w:cs="宋体"/>
          <w:sz w:val="24"/>
        </w:rPr>
        <w:t>6.招标文件</w:t>
      </w:r>
    </w:p>
    <w:p>
      <w:pPr>
        <w:spacing w:line="360" w:lineRule="auto"/>
        <w:ind w:firstLine="480" w:firstLineChars="200"/>
        <w:rPr>
          <w:rFonts w:ascii="宋体" w:hAnsi="宋体" w:cs="宋体"/>
          <w:sz w:val="24"/>
        </w:rPr>
      </w:pPr>
      <w:r>
        <w:rPr>
          <w:rFonts w:hint="eastAsia" w:ascii="宋体" w:hAnsi="宋体" w:cs="宋体"/>
          <w:sz w:val="24"/>
        </w:rPr>
        <w:t>（三）本合同未尽事宜，遵照《合同法》有关条文执行。</w:t>
      </w:r>
    </w:p>
    <w:p>
      <w:pPr>
        <w:spacing w:line="360" w:lineRule="auto"/>
        <w:ind w:firstLine="480" w:firstLineChars="200"/>
        <w:rPr>
          <w:rFonts w:ascii="宋体" w:hAnsi="宋体" w:cs="宋体"/>
          <w:sz w:val="24"/>
        </w:rPr>
      </w:pPr>
      <w:r>
        <w:rPr>
          <w:rFonts w:hint="eastAsia" w:ascii="宋体" w:hAnsi="宋体"/>
          <w:sz w:val="24"/>
        </w:rPr>
        <w:t>（四）中小企业依据《政府采购促进中小企业发展暂行办法》规定的政策获取政府采购合同后，小型、微型企业不得分包或转让给大型、中型企业，中型企业不得分包或转让给大型企业。</w:t>
      </w:r>
    </w:p>
    <w:p>
      <w:pPr>
        <w:spacing w:line="360" w:lineRule="auto"/>
        <w:ind w:firstLine="480" w:firstLineChars="200"/>
        <w:rPr>
          <w:rFonts w:ascii="宋体" w:hAnsi="宋体" w:cs="宋体"/>
          <w:sz w:val="24"/>
        </w:rPr>
      </w:pPr>
      <w:r>
        <w:rPr>
          <w:rFonts w:hint="eastAsia" w:ascii="宋体" w:hAnsi="宋体" w:cs="宋体"/>
          <w:sz w:val="24"/>
        </w:rPr>
        <w:t>（五）本合同正本一式六份（采购人二份、供应商二份、招标代理机构二份），具有同等法律效力，合同签订后2个工作日内将二份合同送至大连锦华项目管理有限公司做备案之用。</w:t>
      </w:r>
    </w:p>
    <w:p>
      <w:pPr>
        <w:spacing w:line="360" w:lineRule="auto"/>
        <w:ind w:firstLine="480" w:firstLineChars="200"/>
        <w:rPr>
          <w:rFonts w:ascii="宋体" w:hAnsi="宋体" w:cs="宋体"/>
          <w:sz w:val="24"/>
        </w:rPr>
      </w:pPr>
      <w:r>
        <w:rPr>
          <w:rFonts w:hint="eastAsia" w:ascii="宋体" w:hAnsi="宋体" w:cs="宋体"/>
          <w:sz w:val="24"/>
        </w:rPr>
        <w:t>甲方（盖章）：</w:t>
      </w:r>
      <w:r>
        <w:rPr>
          <w:rFonts w:hint="eastAsia" w:ascii="宋体" w:hAnsi="宋体"/>
          <w:sz w:val="24"/>
        </w:rPr>
        <w:t xml:space="preserve">                </w:t>
      </w:r>
      <w:r>
        <w:rPr>
          <w:rFonts w:hint="eastAsia" w:ascii="宋体" w:hAnsi="宋体" w:cs="宋体"/>
          <w:sz w:val="24"/>
        </w:rPr>
        <w:t xml:space="preserve">    乙方（盖章）：</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地址：</w:t>
      </w:r>
      <w:r>
        <w:rPr>
          <w:rFonts w:hint="eastAsia" w:ascii="宋体" w:hAnsi="宋体"/>
          <w:sz w:val="24"/>
        </w:rPr>
        <w:t xml:space="preserve">                       </w:t>
      </w:r>
      <w:r>
        <w:rPr>
          <w:rFonts w:hint="eastAsia" w:ascii="宋体" w:hAnsi="宋体" w:cs="宋体"/>
          <w:sz w:val="24"/>
        </w:rPr>
        <w:t xml:space="preserve">     地址：</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法定代表人：                      法定代表人：</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授权委托代理人：                  授权委托代理人：</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电话：</w:t>
      </w:r>
      <w:r>
        <w:rPr>
          <w:rFonts w:hint="eastAsia" w:ascii="宋体" w:hAnsi="宋体"/>
          <w:sz w:val="24"/>
        </w:rPr>
        <w:t xml:space="preserve">             </w:t>
      </w:r>
      <w:r>
        <w:rPr>
          <w:rFonts w:hint="eastAsia" w:ascii="宋体" w:hAnsi="宋体" w:cs="宋体"/>
          <w:sz w:val="24"/>
        </w:rPr>
        <w:t xml:space="preserve">               电话：</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传真：</w:t>
      </w:r>
      <w:r>
        <w:rPr>
          <w:rFonts w:hint="eastAsia" w:ascii="宋体" w:hAnsi="宋体"/>
          <w:sz w:val="24"/>
        </w:rPr>
        <w:t xml:space="preserve">               </w:t>
      </w:r>
      <w:r>
        <w:rPr>
          <w:rFonts w:hint="eastAsia" w:ascii="宋体" w:hAnsi="宋体" w:cs="宋体"/>
          <w:sz w:val="24"/>
        </w:rPr>
        <w:t xml:space="preserve">             传真：</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邮政编码：</w:t>
      </w:r>
      <w:r>
        <w:rPr>
          <w:rFonts w:hint="eastAsia" w:ascii="宋体" w:hAnsi="宋体"/>
          <w:sz w:val="24"/>
        </w:rPr>
        <w:t xml:space="preserve">      </w:t>
      </w:r>
      <w:r>
        <w:rPr>
          <w:rFonts w:hint="eastAsia" w:ascii="宋体" w:hAnsi="宋体" w:cs="宋体"/>
          <w:sz w:val="24"/>
        </w:rPr>
        <w:t xml:space="preserve">                  邮政编码：</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开户银行：</w:t>
      </w:r>
      <w:r>
        <w:rPr>
          <w:rFonts w:hint="eastAsia" w:ascii="宋体" w:hAnsi="宋体"/>
          <w:sz w:val="24"/>
        </w:rPr>
        <w:t xml:space="preserve">                        </w:t>
      </w:r>
      <w:r>
        <w:rPr>
          <w:rFonts w:hint="eastAsia" w:ascii="宋体" w:hAnsi="宋体" w:cs="宋体"/>
          <w:sz w:val="24"/>
        </w:rPr>
        <w:t>开户银行：</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lang w:eastAsia="zh-CN"/>
        </w:rPr>
        <w:t>账号</w:t>
      </w:r>
      <w:r>
        <w:rPr>
          <w:rFonts w:hint="eastAsia" w:ascii="宋体" w:hAnsi="宋体" w:cs="宋体"/>
          <w:sz w:val="24"/>
        </w:rPr>
        <w:t>：</w:t>
      </w:r>
      <w:r>
        <w:rPr>
          <w:rFonts w:hint="eastAsia" w:ascii="宋体" w:hAnsi="宋体"/>
          <w:sz w:val="24"/>
        </w:rPr>
        <w:t xml:space="preserve">                       </w:t>
      </w:r>
      <w:r>
        <w:rPr>
          <w:rFonts w:hint="eastAsia" w:ascii="宋体" w:hAnsi="宋体" w:cs="宋体"/>
          <w:sz w:val="24"/>
        </w:rPr>
        <w:t xml:space="preserve">     </w:t>
      </w:r>
      <w:r>
        <w:rPr>
          <w:rFonts w:hint="eastAsia" w:ascii="宋体" w:hAnsi="宋体" w:cs="宋体"/>
          <w:sz w:val="24"/>
          <w:lang w:eastAsia="zh-CN"/>
        </w:rPr>
        <w:t>账号</w:t>
      </w:r>
      <w:r>
        <w:rPr>
          <w:rFonts w:hint="eastAsia" w:ascii="宋体" w:hAnsi="宋体" w:cs="宋体"/>
          <w:sz w:val="24"/>
        </w:rPr>
        <w:t>：</w:t>
      </w:r>
    </w:p>
    <w:p>
      <w:pPr>
        <w:spacing w:line="360" w:lineRule="auto"/>
        <w:ind w:firstLine="480" w:firstLineChars="200"/>
        <w:rPr>
          <w:rFonts w:ascii="宋体" w:hAnsi="宋体" w:cs="宋体"/>
          <w:sz w:val="24"/>
        </w:rPr>
      </w:pPr>
    </w:p>
    <w:p>
      <w:pPr>
        <w:spacing w:line="192" w:lineRule="auto"/>
        <w:ind w:firstLine="480" w:firstLineChars="200"/>
        <w:rPr>
          <w:rFonts w:ascii="宋体" w:hAnsi="宋体" w:cs="宋体"/>
          <w:sz w:val="24"/>
        </w:rPr>
      </w:pPr>
      <w:r>
        <w:rPr>
          <w:rFonts w:hint="eastAsia" w:ascii="宋体" w:hAnsi="宋体" w:cs="宋体"/>
          <w:sz w:val="24"/>
        </w:rPr>
        <w:t>签订地点：</w:t>
      </w:r>
      <w:r>
        <w:rPr>
          <w:rFonts w:hint="eastAsia" w:ascii="宋体" w:hAnsi="宋体"/>
          <w:sz w:val="24"/>
        </w:rPr>
        <w:t xml:space="preserve">                      </w:t>
      </w:r>
      <w:r>
        <w:rPr>
          <w:rFonts w:hint="eastAsia" w:ascii="宋体" w:hAnsi="宋体" w:cs="宋体"/>
          <w:sz w:val="24"/>
        </w:rPr>
        <w:t xml:space="preserve">  签订日期：</w:t>
      </w:r>
    </w:p>
    <w:p>
      <w:pPr>
        <w:ind w:firstLine="480" w:firstLineChars="200"/>
        <w:rPr>
          <w:rFonts w:ascii="宋体" w:hAnsi="宋体" w:cs="宋体"/>
          <w:sz w:val="24"/>
        </w:rPr>
      </w:pPr>
    </w:p>
    <w:p>
      <w:pPr>
        <w:spacing w:line="600" w:lineRule="exact"/>
        <w:rPr>
          <w:sz w:val="32"/>
        </w:rPr>
      </w:pPr>
      <w:r>
        <w:rPr>
          <w:rFonts w:hint="eastAsia" w:ascii="宋体" w:hAnsi="宋体" w:cs="宋体"/>
          <w:b/>
          <w:sz w:val="24"/>
        </w:rPr>
        <w:t>注：该合同格式仅为主要条款、以最终双方签订合同条款为准。</w:t>
      </w:r>
    </w:p>
    <w:p>
      <w:pPr>
        <w:spacing w:line="32" w:lineRule="atLeast"/>
        <w:rPr>
          <w:rFonts w:ascii="宋体" w:hAnsi="宋体"/>
          <w:sz w:val="24"/>
        </w:rPr>
      </w:pPr>
    </w:p>
    <w:p>
      <w:pPr>
        <w:snapToGrid w:val="0"/>
        <w:spacing w:line="360" w:lineRule="auto"/>
        <w:jc w:val="center"/>
        <w:rPr>
          <w:rFonts w:ascii="宋体" w:hAnsi="宋体"/>
          <w:b/>
          <w:sz w:val="44"/>
          <w:szCs w:val="44"/>
        </w:rPr>
      </w:pPr>
    </w:p>
    <w:p>
      <w:pPr>
        <w:snapToGrid w:val="0"/>
        <w:spacing w:line="360" w:lineRule="auto"/>
        <w:jc w:val="center"/>
        <w:rPr>
          <w:rFonts w:ascii="宋体" w:hAnsi="宋体"/>
          <w:b/>
          <w:sz w:val="44"/>
          <w:szCs w:val="44"/>
        </w:rPr>
      </w:pPr>
    </w:p>
    <w:p>
      <w:pPr>
        <w:snapToGrid w:val="0"/>
        <w:spacing w:line="360" w:lineRule="auto"/>
        <w:jc w:val="center"/>
        <w:rPr>
          <w:rFonts w:ascii="宋体" w:hAnsi="宋体"/>
          <w:b/>
          <w:sz w:val="44"/>
          <w:szCs w:val="44"/>
        </w:rPr>
      </w:pPr>
    </w:p>
    <w:p>
      <w:pPr>
        <w:snapToGrid w:val="0"/>
        <w:spacing w:line="360" w:lineRule="auto"/>
        <w:jc w:val="center"/>
        <w:rPr>
          <w:rFonts w:ascii="宋体" w:hAnsi="宋体"/>
          <w:b/>
          <w:sz w:val="44"/>
          <w:szCs w:val="44"/>
        </w:rPr>
      </w:pPr>
    </w:p>
    <w:p>
      <w:pPr>
        <w:snapToGrid w:val="0"/>
        <w:spacing w:line="360" w:lineRule="auto"/>
        <w:jc w:val="center"/>
        <w:rPr>
          <w:rFonts w:ascii="宋体" w:hAnsi="宋体"/>
          <w:b/>
          <w:sz w:val="44"/>
          <w:szCs w:val="44"/>
        </w:rPr>
      </w:pPr>
    </w:p>
    <w:p>
      <w:pPr>
        <w:snapToGrid w:val="0"/>
        <w:spacing w:line="360" w:lineRule="auto"/>
        <w:jc w:val="center"/>
        <w:rPr>
          <w:rFonts w:ascii="宋体" w:hAnsi="宋体"/>
          <w:b/>
          <w:sz w:val="44"/>
          <w:szCs w:val="44"/>
        </w:rPr>
      </w:pPr>
    </w:p>
    <w:p>
      <w:pPr>
        <w:snapToGrid w:val="0"/>
        <w:spacing w:line="360" w:lineRule="auto"/>
        <w:jc w:val="center"/>
        <w:rPr>
          <w:rFonts w:ascii="宋体" w:hAnsi="宋体"/>
          <w:b/>
          <w:sz w:val="44"/>
          <w:szCs w:val="44"/>
        </w:rPr>
      </w:pPr>
    </w:p>
    <w:p>
      <w:pPr>
        <w:snapToGrid w:val="0"/>
        <w:spacing w:line="360" w:lineRule="auto"/>
        <w:jc w:val="center"/>
        <w:rPr>
          <w:rFonts w:ascii="宋体" w:hAnsi="宋体"/>
          <w:b/>
          <w:sz w:val="44"/>
          <w:szCs w:val="44"/>
        </w:rPr>
      </w:pPr>
    </w:p>
    <w:p>
      <w:pPr>
        <w:snapToGrid w:val="0"/>
        <w:spacing w:line="360" w:lineRule="auto"/>
        <w:jc w:val="center"/>
        <w:rPr>
          <w:rFonts w:ascii="宋体" w:hAnsi="宋体"/>
          <w:b/>
          <w:sz w:val="44"/>
          <w:szCs w:val="44"/>
        </w:rPr>
      </w:pPr>
    </w:p>
    <w:p>
      <w:pPr>
        <w:pStyle w:val="2"/>
        <w:rPr>
          <w:rFonts w:ascii="宋体" w:hAnsi="宋体"/>
          <w:b w:val="0"/>
          <w:sz w:val="44"/>
        </w:rPr>
      </w:pPr>
      <w:bookmarkStart w:id="42" w:name="_Toc142914512"/>
    </w:p>
    <w:p>
      <w:pPr>
        <w:pStyle w:val="2"/>
        <w:rPr>
          <w:rFonts w:ascii="宋体" w:hAnsi="宋体"/>
          <w:b w:val="0"/>
          <w:sz w:val="44"/>
        </w:rPr>
      </w:pPr>
    </w:p>
    <w:p>
      <w:pPr>
        <w:pStyle w:val="2"/>
        <w:rPr>
          <w:rFonts w:ascii="宋体" w:hAnsi="宋体"/>
          <w:b w:val="0"/>
          <w:sz w:val="44"/>
        </w:rPr>
      </w:pPr>
    </w:p>
    <w:p>
      <w:pPr>
        <w:pStyle w:val="2"/>
        <w:rPr>
          <w:rFonts w:ascii="宋体" w:hAnsi="宋体"/>
          <w:b w:val="0"/>
          <w:sz w:val="44"/>
        </w:rPr>
      </w:pPr>
    </w:p>
    <w:p>
      <w:pPr>
        <w:pStyle w:val="2"/>
        <w:rPr>
          <w:rFonts w:ascii="宋体" w:hAnsi="宋体"/>
          <w:b w:val="0"/>
          <w:sz w:val="44"/>
        </w:rPr>
      </w:pPr>
    </w:p>
    <w:p>
      <w:pPr>
        <w:pStyle w:val="2"/>
        <w:rPr>
          <w:rFonts w:ascii="宋体" w:hAnsi="宋体"/>
          <w:b w:val="0"/>
          <w:sz w:val="44"/>
        </w:rPr>
      </w:pPr>
    </w:p>
    <w:p>
      <w:pPr>
        <w:pStyle w:val="2"/>
        <w:rPr>
          <w:rFonts w:ascii="宋体" w:hAnsi="宋体"/>
          <w:b w:val="0"/>
          <w:sz w:val="44"/>
        </w:rPr>
      </w:pPr>
    </w:p>
    <w:p>
      <w:pPr>
        <w:pStyle w:val="2"/>
        <w:rPr>
          <w:rFonts w:ascii="宋体" w:hAnsi="宋体"/>
          <w:b w:val="0"/>
          <w:sz w:val="44"/>
        </w:rPr>
      </w:pPr>
    </w:p>
    <w:p>
      <w:pPr>
        <w:pStyle w:val="2"/>
        <w:rPr>
          <w:rFonts w:ascii="宋体" w:hAnsi="宋体"/>
          <w:b w:val="0"/>
          <w:sz w:val="44"/>
        </w:rPr>
      </w:pPr>
      <w:r>
        <w:rPr>
          <w:rFonts w:hint="eastAsia" w:ascii="宋体" w:hAnsi="宋体"/>
          <w:b w:val="0"/>
          <w:sz w:val="44"/>
        </w:rPr>
        <w:t>第三章 项目服务需求</w:t>
      </w:r>
      <w:bookmarkEnd w:id="42"/>
    </w:p>
    <w:p>
      <w:pPr>
        <w:jc w:val="center"/>
        <w:rPr>
          <w:rFonts w:ascii="宋体" w:hAnsi="宋体"/>
          <w:sz w:val="44"/>
          <w:szCs w:val="44"/>
        </w:rPr>
      </w:pPr>
      <w:r>
        <w:rPr>
          <w:rFonts w:ascii="宋体" w:hAnsi="宋体"/>
          <w:b/>
          <w:sz w:val="44"/>
        </w:rPr>
        <w:br w:type="page"/>
      </w:r>
    </w:p>
    <w:p>
      <w:pPr>
        <w:spacing w:line="360" w:lineRule="auto"/>
        <w:jc w:val="center"/>
        <w:rPr>
          <w:rFonts w:ascii="宋体" w:hAnsi="宋体"/>
          <w:b/>
          <w:sz w:val="28"/>
          <w:szCs w:val="28"/>
        </w:rPr>
      </w:pPr>
      <w:r>
        <w:rPr>
          <w:rFonts w:hint="eastAsia" w:ascii="宋体" w:hAnsi="宋体"/>
          <w:b/>
          <w:sz w:val="28"/>
          <w:szCs w:val="28"/>
        </w:rPr>
        <w:t>项目需求一览表</w:t>
      </w:r>
    </w:p>
    <w:p>
      <w:pPr>
        <w:spacing w:line="360" w:lineRule="auto"/>
        <w:ind w:firstLine="482" w:firstLineChars="200"/>
        <w:jc w:val="left"/>
        <w:rPr>
          <w:rFonts w:ascii="宋体" w:hAnsi="宋体" w:cs="宋体"/>
          <w:b/>
          <w:sz w:val="24"/>
        </w:rPr>
      </w:pPr>
      <w:r>
        <w:rPr>
          <w:rFonts w:hint="eastAsia" w:ascii="宋体" w:hAnsi="宋体" w:cs="宋体"/>
          <w:b/>
          <w:sz w:val="24"/>
        </w:rPr>
        <w:t>（一）招标内容：</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确定一家服务单位，在服务期内向采购人提供专职人民调解服务，如中标人在人员配置、作业管理、质量控制等各个方面不能满足招标文件、政府采购合同的相关要求或没有实现投标文件中的相关承诺，采购人有权单方面解除合同，并保留追究其法律责任的权利。</w:t>
      </w:r>
    </w:p>
    <w:tbl>
      <w:tblPr>
        <w:tblStyle w:val="24"/>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751"/>
        <w:gridCol w:w="4395"/>
        <w:gridCol w:w="115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Pr>
          <w:p>
            <w:pPr>
              <w:pStyle w:val="10"/>
              <w:autoSpaceDE w:val="0"/>
              <w:autoSpaceDN w:val="0"/>
              <w:spacing w:line="360" w:lineRule="auto"/>
              <w:jc w:val="left"/>
              <w:rPr>
                <w:rFonts w:ascii="宋体" w:hAnsi="宋体" w:cs="宋体"/>
                <w:sz w:val="24"/>
              </w:rPr>
            </w:pPr>
            <w:r>
              <w:rPr>
                <w:rFonts w:hint="eastAsia" w:ascii="宋体" w:hAnsi="宋体" w:cs="宋体"/>
                <w:sz w:val="21"/>
                <w:szCs w:val="21"/>
              </w:rPr>
              <w:t>序号</w:t>
            </w:r>
          </w:p>
        </w:tc>
        <w:tc>
          <w:tcPr>
            <w:tcW w:w="1751" w:type="dxa"/>
          </w:tcPr>
          <w:p>
            <w:pPr>
              <w:pStyle w:val="10"/>
              <w:autoSpaceDE w:val="0"/>
              <w:autoSpaceDN w:val="0"/>
              <w:spacing w:line="360" w:lineRule="auto"/>
              <w:jc w:val="center"/>
              <w:rPr>
                <w:rFonts w:ascii="宋体" w:hAnsi="宋体" w:cs="宋体"/>
                <w:sz w:val="24"/>
              </w:rPr>
            </w:pPr>
            <w:r>
              <w:rPr>
                <w:rFonts w:hint="eastAsia" w:ascii="宋体" w:hAnsi="宋体" w:cs="宋体"/>
                <w:sz w:val="21"/>
                <w:szCs w:val="21"/>
              </w:rPr>
              <w:t>分类</w:t>
            </w:r>
          </w:p>
        </w:tc>
        <w:tc>
          <w:tcPr>
            <w:tcW w:w="4395" w:type="dxa"/>
          </w:tcPr>
          <w:p>
            <w:pPr>
              <w:pStyle w:val="10"/>
              <w:autoSpaceDE w:val="0"/>
              <w:autoSpaceDN w:val="0"/>
              <w:spacing w:line="360" w:lineRule="auto"/>
              <w:jc w:val="left"/>
              <w:rPr>
                <w:rFonts w:ascii="宋体" w:hAnsi="宋体" w:cs="宋体"/>
                <w:sz w:val="24"/>
              </w:rPr>
            </w:pPr>
            <w:r>
              <w:rPr>
                <w:rFonts w:hint="eastAsia" w:ascii="宋体" w:hAnsi="宋体" w:cs="宋体"/>
                <w:sz w:val="21"/>
                <w:szCs w:val="21"/>
              </w:rPr>
              <w:t>重点领域行业性、专业性调委会和派驻调解室、组建的综治调解平台项目</w:t>
            </w:r>
          </w:p>
        </w:tc>
        <w:tc>
          <w:tcPr>
            <w:tcW w:w="1155" w:type="dxa"/>
          </w:tcPr>
          <w:p>
            <w:pPr>
              <w:pStyle w:val="10"/>
              <w:autoSpaceDE w:val="0"/>
              <w:autoSpaceDN w:val="0"/>
              <w:spacing w:line="360" w:lineRule="auto"/>
              <w:jc w:val="left"/>
              <w:rPr>
                <w:rFonts w:ascii="宋体" w:hAnsi="宋体" w:cs="宋体"/>
                <w:sz w:val="24"/>
              </w:rPr>
            </w:pPr>
            <w:r>
              <w:rPr>
                <w:rFonts w:hint="eastAsia" w:ascii="宋体" w:hAnsi="宋体" w:cs="宋体"/>
                <w:sz w:val="21"/>
                <w:szCs w:val="21"/>
              </w:rPr>
              <w:t>调委会或调解室数</w:t>
            </w:r>
          </w:p>
        </w:tc>
        <w:tc>
          <w:tcPr>
            <w:tcW w:w="1295" w:type="dxa"/>
          </w:tcPr>
          <w:p>
            <w:pPr>
              <w:pStyle w:val="10"/>
              <w:autoSpaceDE w:val="0"/>
              <w:autoSpaceDN w:val="0"/>
              <w:spacing w:line="360" w:lineRule="auto"/>
              <w:jc w:val="left"/>
              <w:rPr>
                <w:rFonts w:ascii="宋体" w:hAnsi="宋体" w:cs="宋体"/>
                <w:sz w:val="24"/>
              </w:rPr>
            </w:pPr>
            <w:r>
              <w:rPr>
                <w:rFonts w:hint="eastAsia" w:ascii="宋体" w:hAnsi="宋体" w:cs="宋体"/>
                <w:sz w:val="21"/>
                <w:szCs w:val="21"/>
              </w:rPr>
              <w:t>专职人员数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2" w:type="dxa"/>
            <w:vAlign w:val="center"/>
          </w:tcPr>
          <w:p>
            <w:pPr>
              <w:pStyle w:val="10"/>
              <w:autoSpaceDE w:val="0"/>
              <w:autoSpaceDN w:val="0"/>
              <w:spacing w:line="360" w:lineRule="auto"/>
              <w:jc w:val="center"/>
              <w:rPr>
                <w:rFonts w:ascii="宋体" w:hAnsi="宋体" w:cs="宋体"/>
                <w:sz w:val="24"/>
              </w:rPr>
            </w:pPr>
            <w:r>
              <w:rPr>
                <w:rFonts w:hint="eastAsia" w:ascii="宋体" w:hAnsi="宋体" w:cs="宋体"/>
                <w:sz w:val="24"/>
              </w:rPr>
              <w:t>1</w:t>
            </w:r>
          </w:p>
        </w:tc>
        <w:tc>
          <w:tcPr>
            <w:tcW w:w="1751" w:type="dxa"/>
            <w:vMerge w:val="restart"/>
            <w:vAlign w:val="center"/>
          </w:tcPr>
          <w:p>
            <w:pPr>
              <w:pStyle w:val="10"/>
              <w:autoSpaceDE w:val="0"/>
              <w:autoSpaceDN w:val="0"/>
              <w:spacing w:line="360" w:lineRule="auto"/>
              <w:jc w:val="center"/>
              <w:rPr>
                <w:rFonts w:ascii="宋体" w:hAnsi="宋体" w:cs="宋体"/>
                <w:sz w:val="24"/>
              </w:rPr>
            </w:pPr>
            <w:r>
              <w:rPr>
                <w:rFonts w:hint="eastAsia" w:ascii="宋体" w:hAnsi="宋体" w:cs="宋体"/>
                <w:sz w:val="21"/>
                <w:szCs w:val="21"/>
              </w:rPr>
              <w:t>派驻单位和部门的调解室</w:t>
            </w:r>
          </w:p>
        </w:tc>
        <w:tc>
          <w:tcPr>
            <w:tcW w:w="4395" w:type="dxa"/>
            <w:vAlign w:val="center"/>
          </w:tcPr>
          <w:p>
            <w:pPr>
              <w:pStyle w:val="10"/>
              <w:autoSpaceDE w:val="0"/>
              <w:autoSpaceDN w:val="0"/>
              <w:spacing w:line="360" w:lineRule="auto"/>
              <w:jc w:val="center"/>
              <w:rPr>
                <w:rFonts w:ascii="宋体" w:hAnsi="宋体" w:cs="宋体"/>
                <w:sz w:val="24"/>
              </w:rPr>
            </w:pPr>
            <w:r>
              <w:rPr>
                <w:rFonts w:hint="eastAsia" w:ascii="宋体" w:hAnsi="宋体" w:cs="宋体"/>
                <w:sz w:val="21"/>
                <w:szCs w:val="21"/>
              </w:rPr>
              <w:t>派驻劳动仲裁调委会</w:t>
            </w:r>
          </w:p>
        </w:tc>
        <w:tc>
          <w:tcPr>
            <w:tcW w:w="1155" w:type="dxa"/>
            <w:vAlign w:val="center"/>
          </w:tcPr>
          <w:p>
            <w:pPr>
              <w:pStyle w:val="10"/>
              <w:autoSpaceDE w:val="0"/>
              <w:autoSpaceDN w:val="0"/>
              <w:spacing w:line="360" w:lineRule="auto"/>
              <w:jc w:val="center"/>
              <w:rPr>
                <w:rFonts w:ascii="宋体" w:hAnsi="宋体" w:cs="宋体"/>
                <w:sz w:val="24"/>
              </w:rPr>
            </w:pPr>
            <w:r>
              <w:rPr>
                <w:rFonts w:hint="eastAsia" w:ascii="宋体" w:hAnsi="宋体" w:cs="宋体"/>
                <w:sz w:val="24"/>
              </w:rPr>
              <w:t>1</w:t>
            </w:r>
          </w:p>
        </w:tc>
        <w:tc>
          <w:tcPr>
            <w:tcW w:w="1295" w:type="dxa"/>
            <w:vAlign w:val="center"/>
          </w:tcPr>
          <w:p>
            <w:pPr>
              <w:pStyle w:val="10"/>
              <w:autoSpaceDE w:val="0"/>
              <w:autoSpaceDN w:val="0"/>
              <w:spacing w:line="360" w:lineRule="auto"/>
              <w:jc w:val="center"/>
              <w:rPr>
                <w:rFonts w:ascii="宋体" w:hAnsi="宋体" w:cs="宋体"/>
                <w:sz w:val="24"/>
              </w:rPr>
            </w:pPr>
            <w:r>
              <w:rPr>
                <w:rFonts w:hint="eastAsia"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vAlign w:val="center"/>
          </w:tcPr>
          <w:p>
            <w:pPr>
              <w:pStyle w:val="10"/>
              <w:autoSpaceDE w:val="0"/>
              <w:autoSpaceDN w:val="0"/>
              <w:spacing w:line="360" w:lineRule="auto"/>
              <w:jc w:val="center"/>
              <w:rPr>
                <w:rFonts w:ascii="宋体" w:hAnsi="宋体" w:cs="宋体"/>
                <w:sz w:val="24"/>
              </w:rPr>
            </w:pPr>
            <w:r>
              <w:rPr>
                <w:rFonts w:hint="eastAsia" w:ascii="宋体" w:hAnsi="宋体" w:cs="宋体"/>
                <w:sz w:val="24"/>
              </w:rPr>
              <w:t>2</w:t>
            </w:r>
          </w:p>
        </w:tc>
        <w:tc>
          <w:tcPr>
            <w:tcW w:w="1751" w:type="dxa"/>
            <w:vMerge w:val="continue"/>
            <w:vAlign w:val="center"/>
          </w:tcPr>
          <w:p>
            <w:pPr>
              <w:pStyle w:val="10"/>
              <w:autoSpaceDE w:val="0"/>
              <w:autoSpaceDN w:val="0"/>
              <w:spacing w:line="360" w:lineRule="auto"/>
              <w:jc w:val="center"/>
              <w:rPr>
                <w:rFonts w:ascii="宋体" w:hAnsi="宋体" w:cs="宋体"/>
                <w:sz w:val="24"/>
              </w:rPr>
            </w:pPr>
          </w:p>
        </w:tc>
        <w:tc>
          <w:tcPr>
            <w:tcW w:w="4395" w:type="dxa"/>
            <w:vAlign w:val="center"/>
          </w:tcPr>
          <w:p>
            <w:pPr>
              <w:pStyle w:val="10"/>
              <w:autoSpaceDE w:val="0"/>
              <w:autoSpaceDN w:val="0"/>
              <w:spacing w:line="360" w:lineRule="auto"/>
              <w:jc w:val="center"/>
              <w:rPr>
                <w:rFonts w:ascii="宋体" w:hAnsi="宋体" w:cs="宋体"/>
                <w:sz w:val="24"/>
              </w:rPr>
            </w:pPr>
            <w:r>
              <w:rPr>
                <w:rFonts w:hint="eastAsia" w:ascii="宋体" w:hAnsi="宋体" w:cs="宋体"/>
                <w:sz w:val="21"/>
                <w:szCs w:val="21"/>
              </w:rPr>
              <w:t>派驻西岗区司法局所属的司法所</w:t>
            </w:r>
          </w:p>
        </w:tc>
        <w:tc>
          <w:tcPr>
            <w:tcW w:w="1155" w:type="dxa"/>
            <w:vAlign w:val="center"/>
          </w:tcPr>
          <w:p>
            <w:pPr>
              <w:pStyle w:val="10"/>
              <w:autoSpaceDE w:val="0"/>
              <w:autoSpaceDN w:val="0"/>
              <w:spacing w:line="360" w:lineRule="auto"/>
              <w:jc w:val="center"/>
              <w:rPr>
                <w:rFonts w:ascii="宋体" w:hAnsi="宋体" w:cs="宋体"/>
                <w:sz w:val="24"/>
              </w:rPr>
            </w:pPr>
            <w:r>
              <w:rPr>
                <w:rFonts w:hint="eastAsia" w:ascii="宋体" w:hAnsi="宋体" w:cs="宋体"/>
                <w:sz w:val="24"/>
              </w:rPr>
              <w:t>5</w:t>
            </w:r>
          </w:p>
        </w:tc>
        <w:tc>
          <w:tcPr>
            <w:tcW w:w="1295" w:type="dxa"/>
            <w:vAlign w:val="center"/>
          </w:tcPr>
          <w:p>
            <w:pPr>
              <w:pStyle w:val="10"/>
              <w:autoSpaceDE w:val="0"/>
              <w:autoSpaceDN w:val="0"/>
              <w:spacing w:line="360" w:lineRule="auto"/>
              <w:jc w:val="center"/>
              <w:rPr>
                <w:rFonts w:ascii="宋体" w:hAnsi="宋体" w:cs="宋体"/>
                <w:sz w:val="24"/>
              </w:rPr>
            </w:pPr>
            <w:r>
              <w:rPr>
                <w:rFonts w:hint="eastAsia" w:ascii="宋体" w:hAnsi="宋体" w:cs="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vAlign w:val="center"/>
          </w:tcPr>
          <w:p>
            <w:pPr>
              <w:pStyle w:val="10"/>
              <w:autoSpaceDE w:val="0"/>
              <w:autoSpaceDN w:val="0"/>
              <w:spacing w:line="360" w:lineRule="auto"/>
              <w:jc w:val="center"/>
              <w:rPr>
                <w:rFonts w:ascii="宋体" w:hAnsi="宋体" w:cs="宋体"/>
                <w:sz w:val="24"/>
              </w:rPr>
            </w:pPr>
            <w:r>
              <w:rPr>
                <w:rFonts w:hint="eastAsia" w:cs="宋体"/>
                <w:sz w:val="24"/>
              </w:rPr>
              <w:t>3</w:t>
            </w:r>
          </w:p>
        </w:tc>
        <w:tc>
          <w:tcPr>
            <w:tcW w:w="1751" w:type="dxa"/>
            <w:vMerge w:val="continue"/>
            <w:vAlign w:val="center"/>
          </w:tcPr>
          <w:p>
            <w:pPr>
              <w:pStyle w:val="10"/>
              <w:autoSpaceDE w:val="0"/>
              <w:autoSpaceDN w:val="0"/>
              <w:spacing w:line="360" w:lineRule="auto"/>
              <w:jc w:val="center"/>
              <w:rPr>
                <w:rFonts w:ascii="宋体" w:hAnsi="宋体" w:cs="宋体"/>
                <w:sz w:val="24"/>
              </w:rPr>
            </w:pPr>
          </w:p>
        </w:tc>
        <w:tc>
          <w:tcPr>
            <w:tcW w:w="4395" w:type="dxa"/>
            <w:vAlign w:val="center"/>
          </w:tcPr>
          <w:p>
            <w:pPr>
              <w:pStyle w:val="10"/>
              <w:autoSpaceDE w:val="0"/>
              <w:autoSpaceDN w:val="0"/>
              <w:spacing w:line="360" w:lineRule="auto"/>
              <w:jc w:val="center"/>
              <w:rPr>
                <w:rFonts w:ascii="宋体" w:hAnsi="宋体" w:cs="宋体"/>
                <w:sz w:val="21"/>
                <w:szCs w:val="21"/>
              </w:rPr>
            </w:pPr>
            <w:r>
              <w:rPr>
                <w:rFonts w:hint="eastAsia" w:ascii="宋体" w:hAnsi="宋体" w:cs="宋体"/>
                <w:sz w:val="21"/>
                <w:szCs w:val="21"/>
              </w:rPr>
              <w:t xml:space="preserve">派驻西岗区人民调解中心 </w:t>
            </w:r>
          </w:p>
        </w:tc>
        <w:tc>
          <w:tcPr>
            <w:tcW w:w="1155" w:type="dxa"/>
            <w:vAlign w:val="center"/>
          </w:tcPr>
          <w:p>
            <w:pPr>
              <w:pStyle w:val="10"/>
              <w:autoSpaceDE w:val="0"/>
              <w:autoSpaceDN w:val="0"/>
              <w:spacing w:line="360" w:lineRule="auto"/>
              <w:jc w:val="center"/>
              <w:rPr>
                <w:rFonts w:ascii="宋体" w:hAnsi="宋体" w:cs="宋体"/>
                <w:sz w:val="24"/>
              </w:rPr>
            </w:pPr>
            <w:r>
              <w:rPr>
                <w:rFonts w:hint="eastAsia" w:cs="宋体"/>
                <w:sz w:val="24"/>
              </w:rPr>
              <w:t>3</w:t>
            </w:r>
          </w:p>
        </w:tc>
        <w:tc>
          <w:tcPr>
            <w:tcW w:w="1295" w:type="dxa"/>
            <w:vAlign w:val="center"/>
          </w:tcPr>
          <w:p>
            <w:pPr>
              <w:pStyle w:val="10"/>
              <w:autoSpaceDE w:val="0"/>
              <w:autoSpaceDN w:val="0"/>
              <w:spacing w:line="360" w:lineRule="auto"/>
              <w:jc w:val="center"/>
              <w:rPr>
                <w:rFonts w:ascii="宋体" w:hAnsi="宋体" w:cs="宋体"/>
                <w:sz w:val="24"/>
              </w:rPr>
            </w:pPr>
            <w:r>
              <w:rPr>
                <w:rFonts w:hint="eastAsia"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868" w:type="dxa"/>
            <w:gridSpan w:val="3"/>
            <w:vAlign w:val="center"/>
          </w:tcPr>
          <w:p>
            <w:pPr>
              <w:pStyle w:val="10"/>
              <w:autoSpaceDE w:val="0"/>
              <w:autoSpaceDN w:val="0"/>
              <w:spacing w:line="360" w:lineRule="auto"/>
              <w:jc w:val="center"/>
              <w:rPr>
                <w:rFonts w:ascii="宋体" w:hAnsi="宋体" w:cs="宋体"/>
                <w:sz w:val="24"/>
              </w:rPr>
            </w:pPr>
            <w:r>
              <w:rPr>
                <w:rFonts w:hint="eastAsia" w:cs="宋体"/>
                <w:sz w:val="24"/>
              </w:rPr>
              <w:t>合计</w:t>
            </w:r>
          </w:p>
        </w:tc>
        <w:tc>
          <w:tcPr>
            <w:tcW w:w="1155" w:type="dxa"/>
            <w:vAlign w:val="center"/>
          </w:tcPr>
          <w:p>
            <w:pPr>
              <w:pStyle w:val="10"/>
              <w:autoSpaceDE w:val="0"/>
              <w:autoSpaceDN w:val="0"/>
              <w:spacing w:line="360" w:lineRule="auto"/>
              <w:jc w:val="center"/>
              <w:rPr>
                <w:rFonts w:ascii="宋体" w:hAnsi="宋体" w:cs="宋体"/>
                <w:sz w:val="24"/>
              </w:rPr>
            </w:pPr>
            <w:r>
              <w:rPr>
                <w:rFonts w:hint="eastAsia" w:ascii="宋体" w:hAnsi="宋体" w:cs="宋体"/>
                <w:sz w:val="24"/>
              </w:rPr>
              <w:t>12</w:t>
            </w:r>
          </w:p>
        </w:tc>
        <w:tc>
          <w:tcPr>
            <w:tcW w:w="1295" w:type="dxa"/>
            <w:vAlign w:val="center"/>
          </w:tcPr>
          <w:p>
            <w:pPr>
              <w:pStyle w:val="10"/>
              <w:autoSpaceDE w:val="0"/>
              <w:autoSpaceDN w:val="0"/>
              <w:spacing w:line="360" w:lineRule="auto"/>
              <w:jc w:val="center"/>
              <w:rPr>
                <w:rFonts w:ascii="宋体" w:hAnsi="宋体" w:cs="宋体"/>
                <w:sz w:val="24"/>
              </w:rPr>
            </w:pPr>
            <w:r>
              <w:rPr>
                <w:rFonts w:hint="eastAsia" w:ascii="宋体" w:hAnsi="宋体" w:cs="宋体"/>
                <w:sz w:val="24"/>
              </w:rPr>
              <w:t>12</w:t>
            </w:r>
          </w:p>
        </w:tc>
      </w:tr>
    </w:tbl>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备注：1.投标人提供的服务人员（专职人民调解员）由采购人进行统一调配，服务地点以采购人根据实际情况委派为准。</w:t>
      </w:r>
    </w:p>
    <w:p>
      <w:pPr>
        <w:pStyle w:val="20"/>
        <w:spacing w:after="0" w:line="360" w:lineRule="auto"/>
        <w:ind w:firstLine="460" w:firstLineChars="200"/>
        <w:rPr>
          <w:rFonts w:ascii="宋体" w:hAnsi="宋体" w:cs="宋体"/>
        </w:rPr>
      </w:pPr>
      <w:r>
        <w:rPr>
          <w:rFonts w:hint="eastAsia" w:ascii="宋体" w:hAnsi="宋体" w:cs="宋体"/>
          <w:spacing w:val="-5"/>
          <w:sz w:val="24"/>
        </w:rPr>
        <w:t>2.</w:t>
      </w:r>
      <w:r>
        <w:rPr>
          <w:rFonts w:hint="eastAsia" w:ascii="宋体" w:hAnsi="宋体" w:cs="宋体"/>
          <w:sz w:val="24"/>
        </w:rPr>
        <w:t>★</w:t>
      </w:r>
      <w:r>
        <w:rPr>
          <w:rFonts w:hint="eastAsia" w:ascii="宋体" w:hAnsi="宋体" w:cs="宋体"/>
          <w:spacing w:val="-5"/>
          <w:sz w:val="24"/>
        </w:rPr>
        <w:t>投标人须承诺提供的服务人员在合同生效之日起</w:t>
      </w:r>
      <w:r>
        <w:rPr>
          <w:rFonts w:hint="eastAsia" w:ascii="宋体" w:hAnsi="宋体" w:cs="宋体"/>
          <w:sz w:val="24"/>
        </w:rPr>
        <w:t>15</w:t>
      </w:r>
      <w:r>
        <w:rPr>
          <w:rFonts w:hint="eastAsia" w:ascii="宋体" w:hAnsi="宋体" w:cs="宋体"/>
          <w:spacing w:val="-10"/>
          <w:sz w:val="24"/>
        </w:rPr>
        <w:t>天内到岗。</w:t>
      </w:r>
    </w:p>
    <w:p>
      <w:pPr>
        <w:spacing w:line="360" w:lineRule="auto"/>
        <w:ind w:firstLine="482" w:firstLineChars="200"/>
        <w:jc w:val="left"/>
        <w:rPr>
          <w:rFonts w:ascii="宋体" w:hAnsi="宋体" w:cs="宋体"/>
          <w:b/>
          <w:kern w:val="28"/>
          <w:sz w:val="24"/>
        </w:rPr>
      </w:pPr>
      <w:r>
        <w:rPr>
          <w:rFonts w:hint="eastAsia" w:ascii="宋体" w:hAnsi="宋体" w:cs="宋体"/>
          <w:b/>
          <w:sz w:val="24"/>
        </w:rPr>
        <w:t>（二）</w:t>
      </w:r>
      <w:r>
        <w:rPr>
          <w:rFonts w:hint="eastAsia" w:ascii="宋体" w:hAnsi="宋体" w:cs="宋体"/>
          <w:b/>
          <w:kern w:val="28"/>
          <w:sz w:val="24"/>
        </w:rPr>
        <w:t>服务规范</w:t>
      </w:r>
    </w:p>
    <w:p>
      <w:pPr>
        <w:spacing w:line="360" w:lineRule="auto"/>
        <w:ind w:firstLine="480" w:firstLineChars="200"/>
        <w:jc w:val="left"/>
        <w:rPr>
          <w:rFonts w:ascii="宋体" w:hAnsi="宋体" w:cs="宋体"/>
          <w:sz w:val="24"/>
        </w:rPr>
      </w:pPr>
      <w:r>
        <w:rPr>
          <w:rFonts w:hint="eastAsia" w:ascii="宋体" w:hAnsi="宋体" w:cs="宋体"/>
          <w:sz w:val="24"/>
        </w:rPr>
        <w:t>本项目服务要求中提出的各项要求是对本项目的最基本要求，并未对一切细节做出全部详细规定，也并未充分引述有关标准、规范、法律、法规的条文，投标人所有与本项目有关的服务均须执行国家和行业标准、规范、法律、法规，以及省、市行政主管部门等下发的有关文件规定。</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1.投标单位应具备国家或行业管理部门规定的，在本市实施本项目所需的资格（资质）和相关手续（如果有），由此引起的所有有关事宜及费用由投标单位自行负责。</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2.投标单位提供的服务应当符合招标文件的要求，并且其质量完全符合国家标准、行业标准或地方标准。</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3.投标单位在投标前应认真了解项目的实施背景、应提供的服务内容和质量、项目考核管理要求等，一旦中标，应按照招标文件和合同规定的要求提供相关服务。</w:t>
      </w:r>
    </w:p>
    <w:p>
      <w:pPr>
        <w:adjustRightInd w:val="0"/>
        <w:snapToGrid w:val="0"/>
        <w:spacing w:line="360" w:lineRule="auto"/>
        <w:ind w:firstLine="480" w:firstLineChars="200"/>
        <w:rPr>
          <w:rFonts w:ascii="宋体" w:hAnsi="宋体" w:cs="宋体"/>
          <w:sz w:val="24"/>
        </w:rPr>
      </w:pPr>
      <w:r>
        <w:rPr>
          <w:rFonts w:hint="eastAsia" w:ascii="宋体" w:hAnsi="宋体" w:cs="宋体"/>
          <w:kern w:val="0"/>
          <w:sz w:val="24"/>
        </w:rPr>
        <w:t>4.投标单位对所提供的服务应当享有合法的所有权，没有侵犯任何第三方的知识产权、商业秘密、技术秘密等权利，而且不存在任何抵押、留置、查封等产权瑕疵。如采购人使用该服务构成上述侵权的，则由中标单位承担全部责任。</w:t>
      </w:r>
    </w:p>
    <w:p>
      <w:pPr>
        <w:spacing w:line="360" w:lineRule="auto"/>
        <w:ind w:left="420" w:leftChars="200"/>
        <w:jc w:val="left"/>
        <w:rPr>
          <w:rFonts w:ascii="宋体" w:hAnsi="宋体" w:cs="宋体"/>
          <w:b/>
          <w:kern w:val="28"/>
          <w:sz w:val="24"/>
        </w:rPr>
      </w:pPr>
      <w:r>
        <w:rPr>
          <w:rFonts w:hint="eastAsia" w:ascii="宋体" w:hAnsi="宋体" w:cs="宋体"/>
          <w:b/>
          <w:kern w:val="28"/>
          <w:sz w:val="24"/>
        </w:rPr>
        <w:t>（三）总体要求</w:t>
      </w:r>
    </w:p>
    <w:p>
      <w:pPr>
        <w:pStyle w:val="10"/>
        <w:autoSpaceDE w:val="0"/>
        <w:autoSpaceDN w:val="0"/>
        <w:spacing w:line="360" w:lineRule="auto"/>
        <w:ind w:firstLine="482" w:firstLineChars="200"/>
        <w:jc w:val="left"/>
        <w:rPr>
          <w:rFonts w:ascii="宋体" w:hAnsi="宋体" w:cs="宋体"/>
          <w:sz w:val="24"/>
        </w:rPr>
      </w:pPr>
      <w:r>
        <w:rPr>
          <w:rFonts w:hint="eastAsia" w:cs="宋体"/>
          <w:sz w:val="24"/>
        </w:rPr>
        <w:t>1.</w:t>
      </w:r>
      <w:r>
        <w:rPr>
          <w:rFonts w:hint="eastAsia" w:ascii="宋体" w:hAnsi="宋体" w:cs="宋体"/>
          <w:spacing w:val="-6"/>
          <w:sz w:val="24"/>
        </w:rPr>
        <w:t>中标人不得以任何方式转包、分包或挂靠本项目。如发现中标人以转包、分包或挂靠的方</w:t>
      </w:r>
      <w:r>
        <w:rPr>
          <w:rFonts w:hint="eastAsia" w:ascii="宋体" w:hAnsi="宋体" w:cs="宋体"/>
          <w:spacing w:val="-4"/>
          <w:sz w:val="24"/>
        </w:rPr>
        <w:t>式谋取中标，采购人有权解除合同，</w:t>
      </w:r>
      <w:r>
        <w:rPr>
          <w:rFonts w:hint="eastAsia" w:cs="宋体"/>
          <w:spacing w:val="-4"/>
          <w:sz w:val="24"/>
        </w:rPr>
        <w:t>并</w:t>
      </w:r>
      <w:r>
        <w:rPr>
          <w:rFonts w:hint="eastAsia" w:ascii="宋体" w:hAnsi="宋体" w:cs="宋体"/>
          <w:spacing w:val="-4"/>
          <w:sz w:val="24"/>
        </w:rPr>
        <w:t>要求赔偿由此给采购人造成的损失。</w:t>
      </w:r>
    </w:p>
    <w:p>
      <w:pPr>
        <w:pStyle w:val="10"/>
        <w:autoSpaceDE w:val="0"/>
        <w:autoSpaceDN w:val="0"/>
        <w:spacing w:line="360" w:lineRule="auto"/>
        <w:ind w:firstLine="482" w:firstLineChars="200"/>
        <w:jc w:val="left"/>
        <w:rPr>
          <w:rFonts w:ascii="宋体" w:hAnsi="宋体" w:cs="宋体"/>
          <w:spacing w:val="-3"/>
          <w:sz w:val="24"/>
        </w:rPr>
      </w:pPr>
      <w:r>
        <w:rPr>
          <w:rFonts w:hint="eastAsia" w:cs="宋体"/>
          <w:sz w:val="24"/>
        </w:rPr>
        <w:t>2.</w:t>
      </w:r>
      <w:r>
        <w:rPr>
          <w:rFonts w:hint="eastAsia" w:ascii="宋体" w:hAnsi="宋体" w:cs="宋体"/>
          <w:spacing w:val="-4"/>
          <w:sz w:val="24"/>
        </w:rPr>
        <w:t>中标人必须将</w:t>
      </w:r>
      <w:r>
        <w:rPr>
          <w:rFonts w:hint="eastAsia" w:cs="宋体"/>
          <w:spacing w:val="-4"/>
          <w:sz w:val="24"/>
        </w:rPr>
        <w:t>不低于</w:t>
      </w:r>
      <w:r>
        <w:rPr>
          <w:rFonts w:hint="eastAsia" w:ascii="宋体" w:hAnsi="宋体" w:cs="宋体"/>
          <w:spacing w:val="-4"/>
          <w:sz w:val="24"/>
        </w:rPr>
        <w:t>项目总金额的</w:t>
      </w:r>
      <w:r>
        <w:rPr>
          <w:rFonts w:hint="eastAsia" w:ascii="宋体" w:hAnsi="宋体" w:cs="宋体"/>
          <w:sz w:val="24"/>
        </w:rPr>
        <w:t>90%</w:t>
      </w:r>
      <w:r>
        <w:rPr>
          <w:rFonts w:hint="eastAsia" w:ascii="宋体" w:hAnsi="宋体" w:cs="宋体"/>
          <w:spacing w:val="-3"/>
          <w:sz w:val="24"/>
        </w:rPr>
        <w:t>，用于按规定给</w:t>
      </w:r>
      <w:r>
        <w:rPr>
          <w:rFonts w:hint="eastAsia" w:cs="宋体"/>
          <w:spacing w:val="-3"/>
          <w:sz w:val="24"/>
        </w:rPr>
        <w:t>为采购人</w:t>
      </w:r>
      <w:r>
        <w:rPr>
          <w:rFonts w:hint="eastAsia" w:ascii="宋体" w:hAnsi="宋体" w:cs="宋体"/>
          <w:spacing w:val="-3"/>
          <w:sz w:val="24"/>
        </w:rPr>
        <w:t>提供服务的员工按月发放薪资待遇（包含服务人员工资、个人所得税、社会保险等）一切相关费用的支出。</w:t>
      </w:r>
    </w:p>
    <w:p>
      <w:pPr>
        <w:pStyle w:val="10"/>
        <w:autoSpaceDE w:val="0"/>
        <w:autoSpaceDN w:val="0"/>
        <w:spacing w:line="360" w:lineRule="auto"/>
        <w:ind w:firstLine="482" w:firstLineChars="200"/>
        <w:jc w:val="left"/>
        <w:rPr>
          <w:rFonts w:ascii="宋体" w:hAnsi="宋体" w:cs="宋体"/>
          <w:sz w:val="24"/>
        </w:rPr>
      </w:pPr>
      <w:r>
        <w:rPr>
          <w:rFonts w:hint="eastAsia" w:cs="宋体"/>
          <w:sz w:val="24"/>
        </w:rPr>
        <w:t>3.</w:t>
      </w:r>
      <w:r>
        <w:rPr>
          <w:rFonts w:hint="eastAsia" w:ascii="宋体" w:hAnsi="宋体" w:cs="宋体"/>
          <w:sz w:val="24"/>
        </w:rPr>
        <w:t>项目内容、最高限价、服务人员总人数和服务期限：</w:t>
      </w:r>
    </w:p>
    <w:tbl>
      <w:tblPr>
        <w:tblStyle w:val="23"/>
        <w:tblW w:w="8678"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0"/>
        <w:gridCol w:w="1837"/>
        <w:gridCol w:w="2051"/>
        <w:gridCol w:w="2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exact"/>
        </w:trPr>
        <w:tc>
          <w:tcPr>
            <w:tcW w:w="2140" w:type="dxa"/>
          </w:tcPr>
          <w:p>
            <w:pPr>
              <w:pStyle w:val="64"/>
              <w:autoSpaceDE w:val="0"/>
              <w:autoSpaceDN w:val="0"/>
              <w:spacing w:before="0" w:line="360" w:lineRule="auto"/>
              <w:ind w:firstLine="422" w:firstLineChars="200"/>
              <w:rPr>
                <w:rFonts w:ascii="宋体" w:hAnsi="宋体" w:cs="宋体"/>
                <w:b/>
                <w:bCs/>
                <w:szCs w:val="21"/>
              </w:rPr>
            </w:pPr>
            <w:r>
              <w:rPr>
                <w:rFonts w:hint="eastAsia" w:ascii="宋体" w:hAnsi="宋体" w:cs="宋体"/>
                <w:b/>
                <w:bCs/>
                <w:szCs w:val="21"/>
              </w:rPr>
              <w:t>项目内容</w:t>
            </w:r>
          </w:p>
        </w:tc>
        <w:tc>
          <w:tcPr>
            <w:tcW w:w="1837" w:type="dxa"/>
          </w:tcPr>
          <w:p>
            <w:pPr>
              <w:pStyle w:val="64"/>
              <w:autoSpaceDE w:val="0"/>
              <w:autoSpaceDN w:val="0"/>
              <w:spacing w:before="0"/>
              <w:ind w:firstLine="422" w:firstLineChars="200"/>
              <w:jc w:val="both"/>
              <w:rPr>
                <w:rFonts w:ascii="宋体" w:hAnsi="宋体" w:cs="宋体"/>
                <w:b/>
                <w:bCs/>
                <w:szCs w:val="21"/>
              </w:rPr>
            </w:pPr>
            <w:r>
              <w:rPr>
                <w:rFonts w:hint="eastAsia" w:ascii="宋体" w:hAnsi="宋体" w:cs="宋体"/>
                <w:b/>
                <w:bCs/>
                <w:szCs w:val="21"/>
              </w:rPr>
              <w:t>最高限价</w:t>
            </w:r>
          </w:p>
          <w:p>
            <w:pPr>
              <w:pStyle w:val="64"/>
              <w:autoSpaceDE w:val="0"/>
              <w:autoSpaceDN w:val="0"/>
              <w:spacing w:before="0"/>
              <w:rPr>
                <w:rFonts w:ascii="宋体" w:hAnsi="宋体" w:cs="宋体"/>
                <w:b/>
                <w:bCs/>
                <w:szCs w:val="21"/>
              </w:rPr>
            </w:pPr>
            <w:r>
              <w:rPr>
                <w:rFonts w:hint="eastAsia" w:ascii="宋体" w:hAnsi="宋体" w:cs="宋体"/>
                <w:b/>
                <w:bCs/>
                <w:szCs w:val="21"/>
              </w:rPr>
              <w:t>（人民币/万元）</w:t>
            </w:r>
          </w:p>
        </w:tc>
        <w:tc>
          <w:tcPr>
            <w:tcW w:w="2051" w:type="dxa"/>
          </w:tcPr>
          <w:p>
            <w:pPr>
              <w:pStyle w:val="64"/>
              <w:autoSpaceDE w:val="0"/>
              <w:autoSpaceDN w:val="0"/>
              <w:spacing w:before="0" w:line="360" w:lineRule="auto"/>
              <w:rPr>
                <w:rFonts w:ascii="宋体" w:hAnsi="宋体" w:cs="宋体"/>
                <w:b/>
                <w:bCs/>
                <w:szCs w:val="21"/>
              </w:rPr>
            </w:pPr>
            <w:r>
              <w:rPr>
                <w:rFonts w:hint="eastAsia" w:ascii="宋体" w:hAnsi="宋体" w:cs="宋体"/>
                <w:b/>
                <w:bCs/>
                <w:szCs w:val="21"/>
              </w:rPr>
              <w:t>服务人员总人数</w:t>
            </w:r>
          </w:p>
        </w:tc>
        <w:tc>
          <w:tcPr>
            <w:tcW w:w="2650" w:type="dxa"/>
          </w:tcPr>
          <w:p>
            <w:pPr>
              <w:pStyle w:val="64"/>
              <w:autoSpaceDE w:val="0"/>
              <w:autoSpaceDN w:val="0"/>
              <w:spacing w:before="0" w:line="360" w:lineRule="auto"/>
              <w:ind w:firstLine="422" w:firstLineChars="200"/>
              <w:rPr>
                <w:rFonts w:ascii="宋体" w:hAnsi="宋体" w:cs="宋体"/>
                <w:b/>
                <w:bCs/>
                <w:szCs w:val="21"/>
              </w:rPr>
            </w:pPr>
            <w:r>
              <w:rPr>
                <w:rFonts w:hint="eastAsia" w:ascii="宋体" w:hAnsi="宋体" w:cs="宋体"/>
                <w:b/>
                <w:bCs/>
                <w:szCs w:val="21"/>
              </w:rPr>
              <w:t>服务期限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rPr>
        <w:tc>
          <w:tcPr>
            <w:tcW w:w="2140" w:type="dxa"/>
            <w:vAlign w:val="center"/>
          </w:tcPr>
          <w:p>
            <w:pPr>
              <w:pStyle w:val="64"/>
              <w:autoSpaceDE w:val="0"/>
              <w:autoSpaceDN w:val="0"/>
              <w:spacing w:before="0" w:line="360" w:lineRule="auto"/>
              <w:rPr>
                <w:rFonts w:ascii="宋体" w:hAnsi="宋体" w:cs="宋体"/>
                <w:szCs w:val="21"/>
              </w:rPr>
            </w:pPr>
            <w:r>
              <w:rPr>
                <w:rFonts w:hint="eastAsia" w:ascii="宋体" w:hAnsi="宋体" w:cs="宋体"/>
                <w:szCs w:val="21"/>
              </w:rPr>
              <w:t>专职人民调解服务</w:t>
            </w:r>
          </w:p>
        </w:tc>
        <w:tc>
          <w:tcPr>
            <w:tcW w:w="1837" w:type="dxa"/>
            <w:vAlign w:val="center"/>
          </w:tcPr>
          <w:p>
            <w:pPr>
              <w:pStyle w:val="64"/>
              <w:autoSpaceDE w:val="0"/>
              <w:autoSpaceDN w:val="0"/>
              <w:spacing w:before="0" w:line="360" w:lineRule="auto"/>
              <w:ind w:firstLine="480" w:firstLineChars="200"/>
              <w:rPr>
                <w:rFonts w:ascii="宋体" w:hAnsi="宋体" w:cs="宋体"/>
                <w:szCs w:val="21"/>
              </w:rPr>
            </w:pPr>
            <w:r>
              <w:rPr>
                <w:rFonts w:hint="eastAsia" w:ascii="宋体" w:hAnsi="宋体"/>
                <w:sz w:val="24"/>
              </w:rPr>
              <w:t>75.24万元</w:t>
            </w:r>
          </w:p>
        </w:tc>
        <w:tc>
          <w:tcPr>
            <w:tcW w:w="2051" w:type="dxa"/>
            <w:vAlign w:val="center"/>
          </w:tcPr>
          <w:p>
            <w:pPr>
              <w:pStyle w:val="64"/>
              <w:autoSpaceDE w:val="0"/>
              <w:autoSpaceDN w:val="0"/>
              <w:spacing w:before="0" w:line="360" w:lineRule="auto"/>
              <w:ind w:firstLine="420" w:firstLineChars="200"/>
              <w:rPr>
                <w:rFonts w:ascii="宋体" w:hAnsi="宋体" w:cs="宋体"/>
                <w:szCs w:val="21"/>
              </w:rPr>
            </w:pPr>
            <w:r>
              <w:rPr>
                <w:rFonts w:hint="eastAsia" w:ascii="宋体" w:hAnsi="宋体" w:cs="宋体"/>
                <w:szCs w:val="21"/>
              </w:rPr>
              <w:t>12人</w:t>
            </w:r>
          </w:p>
        </w:tc>
        <w:tc>
          <w:tcPr>
            <w:tcW w:w="2650" w:type="dxa"/>
            <w:vAlign w:val="center"/>
          </w:tcPr>
          <w:p>
            <w:pPr>
              <w:pStyle w:val="64"/>
              <w:autoSpaceDE w:val="0"/>
              <w:autoSpaceDN w:val="0"/>
              <w:spacing w:before="0" w:line="360" w:lineRule="auto"/>
              <w:rPr>
                <w:rFonts w:ascii="宋体" w:hAnsi="宋体" w:cs="宋体"/>
                <w:szCs w:val="21"/>
              </w:rPr>
            </w:pPr>
            <w:r>
              <w:rPr>
                <w:rFonts w:hint="eastAsia" w:ascii="宋体" w:hAnsi="宋体" w:cs="宋体"/>
                <w:szCs w:val="21"/>
              </w:rPr>
              <w:t>合同生效之日起1年</w:t>
            </w:r>
          </w:p>
        </w:tc>
      </w:tr>
    </w:tbl>
    <w:p>
      <w:pPr>
        <w:pStyle w:val="10"/>
        <w:autoSpaceDE w:val="0"/>
        <w:autoSpaceDN w:val="0"/>
        <w:spacing w:line="360" w:lineRule="auto"/>
        <w:ind w:firstLine="482" w:firstLineChars="200"/>
        <w:jc w:val="left"/>
        <w:rPr>
          <w:rFonts w:ascii="宋体" w:hAnsi="宋体" w:cs="宋体"/>
          <w:sz w:val="24"/>
        </w:rPr>
      </w:pPr>
      <w:r>
        <w:rPr>
          <w:rFonts w:hint="eastAsia" w:cs="宋体"/>
          <w:sz w:val="24"/>
        </w:rPr>
        <w:t>4</w:t>
      </w:r>
      <w:r>
        <w:rPr>
          <w:rFonts w:hint="eastAsia" w:ascii="宋体" w:hAnsi="宋体" w:cs="宋体"/>
          <w:sz w:val="24"/>
        </w:rPr>
        <w:t>.服务地点：采购人指定地点。</w:t>
      </w:r>
    </w:p>
    <w:p>
      <w:pPr>
        <w:pStyle w:val="20"/>
        <w:spacing w:after="0"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pacing w:val="-6"/>
          <w:sz w:val="24"/>
        </w:rPr>
        <w:t>服务时间：服务人员的服务时间为每周</w:t>
      </w:r>
      <w:r>
        <w:rPr>
          <w:rFonts w:hint="eastAsia" w:ascii="宋体" w:hAnsi="宋体" w:cs="宋体"/>
          <w:sz w:val="24"/>
        </w:rPr>
        <w:t>5</w:t>
      </w:r>
      <w:r>
        <w:rPr>
          <w:rFonts w:hint="eastAsia" w:ascii="宋体" w:hAnsi="宋体" w:cs="宋体"/>
          <w:spacing w:val="-17"/>
          <w:sz w:val="24"/>
        </w:rPr>
        <w:t>日，每日</w:t>
      </w:r>
      <w:r>
        <w:rPr>
          <w:rFonts w:hint="eastAsia" w:ascii="宋体" w:hAnsi="宋体" w:cs="宋体"/>
          <w:sz w:val="24"/>
        </w:rPr>
        <w:t>8</w:t>
      </w:r>
      <w:r>
        <w:rPr>
          <w:rFonts w:hint="eastAsia" w:ascii="宋体" w:hAnsi="宋体" w:cs="宋体"/>
          <w:spacing w:val="-8"/>
          <w:sz w:val="24"/>
        </w:rPr>
        <w:t>小时，按法律法规安排的假期除外。</w:t>
      </w:r>
    </w:p>
    <w:p>
      <w:pPr>
        <w:spacing w:line="360" w:lineRule="auto"/>
        <w:ind w:firstLine="482" w:firstLineChars="200"/>
        <w:jc w:val="left"/>
        <w:rPr>
          <w:rFonts w:ascii="宋体" w:hAnsi="宋体" w:cs="宋体"/>
          <w:b/>
          <w:kern w:val="28"/>
          <w:sz w:val="24"/>
        </w:rPr>
      </w:pPr>
      <w:r>
        <w:rPr>
          <w:rFonts w:hint="eastAsia" w:ascii="宋体" w:hAnsi="宋体" w:cs="宋体"/>
          <w:b/>
          <w:kern w:val="28"/>
          <w:sz w:val="24"/>
        </w:rPr>
        <w:t>（四）项目要求</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1.服务人员（专职人民调解员）的涵义</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本项目服务人员（专职人民调解员）是指由市财政列支保障，经市司法局统一调配到法院诉前联调工作室、基层调解委员会等调解组织专门从事人民调解工作的专职人员。</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2.岗位任职要求</w:t>
      </w:r>
    </w:p>
    <w:p>
      <w:pPr>
        <w:pStyle w:val="10"/>
        <w:autoSpaceDE w:val="0"/>
        <w:autoSpaceDN w:val="0"/>
        <w:spacing w:line="360" w:lineRule="auto"/>
        <w:ind w:firstLine="478" w:firstLineChars="200"/>
        <w:jc w:val="left"/>
        <w:rPr>
          <w:rFonts w:ascii="宋体" w:hAnsi="宋体" w:cs="宋体"/>
          <w:sz w:val="24"/>
        </w:rPr>
      </w:pPr>
      <w:r>
        <w:rPr>
          <w:rFonts w:hint="eastAsia" w:ascii="宋体" w:hAnsi="宋体" w:cs="宋体"/>
          <w:spacing w:val="-1"/>
          <w:sz w:val="24"/>
        </w:rPr>
        <w:t>（1）</w:t>
      </w:r>
      <w:r>
        <w:rPr>
          <w:rFonts w:hint="eastAsia" w:ascii="宋体" w:hAnsi="宋体" w:cs="宋体"/>
          <w:spacing w:val="-14"/>
          <w:sz w:val="24"/>
        </w:rPr>
        <w:t>拥护党的领导，宣传和执行党的路线、方针和政策，遵纪守法，公道正派，热心人民调解工作。</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（2）具有大专或以上文化水平，有一定的政策水平和法律知识，身体健康的成年公民。</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（3）2020年西岗区司法局专职人民调解服务项目的专职人民调解员愿意继续提供服务的，应优先录用。</w:t>
      </w:r>
    </w:p>
    <w:p>
      <w:pPr>
        <w:pStyle w:val="10"/>
        <w:autoSpaceDE w:val="0"/>
        <w:autoSpaceDN w:val="0"/>
        <w:spacing w:line="360" w:lineRule="auto"/>
        <w:ind w:left="420" w:leftChars="200"/>
        <w:jc w:val="left"/>
        <w:rPr>
          <w:rFonts w:ascii="宋体" w:hAnsi="宋体" w:cs="宋体"/>
          <w:sz w:val="24"/>
        </w:rPr>
      </w:pPr>
      <w:r>
        <w:rPr>
          <w:rFonts w:hint="eastAsia" w:ascii="宋体" w:hAnsi="宋体" w:cs="宋体"/>
          <w:sz w:val="24"/>
        </w:rPr>
        <w:t>（4）2 年（含）以上政法工作经历者优先。</w:t>
      </w:r>
    </w:p>
    <w:p>
      <w:pPr>
        <w:pStyle w:val="10"/>
        <w:autoSpaceDE w:val="0"/>
        <w:autoSpaceDN w:val="0"/>
        <w:spacing w:line="360" w:lineRule="auto"/>
        <w:ind w:left="420" w:leftChars="200"/>
        <w:jc w:val="left"/>
        <w:rPr>
          <w:rFonts w:ascii="宋体" w:hAnsi="宋体" w:cs="宋体"/>
          <w:sz w:val="24"/>
        </w:rPr>
      </w:pPr>
      <w:r>
        <w:rPr>
          <w:rFonts w:hint="eastAsia" w:ascii="宋体" w:hAnsi="宋体" w:cs="宋体"/>
          <w:sz w:val="24"/>
        </w:rPr>
        <w:t>（5）1 年（含）以上人民调解工作经历者优先。</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3.本项目服务人员（专职人民调解员）工作职责</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（1）</w:t>
      </w:r>
      <w:r>
        <w:rPr>
          <w:rFonts w:hint="eastAsia" w:ascii="宋体" w:hAnsi="宋体" w:cs="宋体"/>
          <w:spacing w:val="-9"/>
          <w:sz w:val="24"/>
        </w:rPr>
        <w:t>做好矛盾纠纷预防排查化解工作，及时收集和掌握各类纠纷信息，及时疏导不稳定因素，及时</w:t>
      </w:r>
      <w:r>
        <w:rPr>
          <w:rFonts w:hint="eastAsia" w:ascii="宋体" w:hAnsi="宋体" w:cs="宋体"/>
          <w:spacing w:val="-5"/>
          <w:sz w:val="24"/>
        </w:rPr>
        <w:t>向所属调解组织汇报疑难重大纠纷信息。</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（2）调解各类矛盾纠纷，防止矛盾纠纷激化。</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（3）做好纠纷调解案件的立卷归档和调解回访工作。</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（4）做好人民调解数据统计和信息采集工作。</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（5）做好市、区司法行政部门安排的其他工作项目。</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4.其他要求</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（1）本项目服务人员队伍调解案件总数一年不少于780件，宣传法律、法规、规章和党的方针政策一年不少于600次。</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（2）中标人应对本项目服务人员进行岗位所必需的培训。</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（3）中标人要确保队伍稳定，无特殊情况不得随意更换，如需更换，必须提前一个月通知采购人，并经采购人同意后方可更换。</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（4）</w:t>
      </w:r>
      <w:r>
        <w:rPr>
          <w:rFonts w:hint="eastAsia" w:ascii="宋体" w:hAnsi="宋体" w:cs="宋体"/>
          <w:spacing w:val="-10"/>
          <w:sz w:val="24"/>
        </w:rPr>
        <w:t>采购人有权根据工作需求，对于工作达不到要求或认为不适合的服务人员，要求中标人更换或</w:t>
      </w:r>
      <w:r>
        <w:rPr>
          <w:rFonts w:hint="eastAsia" w:ascii="宋体" w:hAnsi="宋体" w:cs="宋体"/>
          <w:spacing w:val="-11"/>
          <w:sz w:val="24"/>
        </w:rPr>
        <w:t>退回。中标人接到通知后须在三日内予以更换。如中标人不能在三日内及时按采购人要求更换服务人员，</w:t>
      </w:r>
      <w:r>
        <w:rPr>
          <w:rFonts w:hint="eastAsia" w:ascii="宋体" w:hAnsi="宋体" w:cs="宋体"/>
          <w:spacing w:val="-6"/>
          <w:sz w:val="24"/>
        </w:rPr>
        <w:t>则按照需要更换服务人员人数</w:t>
      </w:r>
      <w:r>
        <w:rPr>
          <w:rFonts w:hint="eastAsia" w:ascii="宋体" w:hAnsi="宋体" w:cs="宋体"/>
          <w:sz w:val="24"/>
        </w:rPr>
        <w:t>*700</w:t>
      </w:r>
      <w:r>
        <w:rPr>
          <w:rFonts w:hint="eastAsia" w:ascii="宋体" w:hAnsi="宋体" w:cs="宋体"/>
          <w:spacing w:val="-15"/>
          <w:sz w:val="24"/>
        </w:rPr>
        <w:t>元进行扣减服务费用。中标人一个月内必须按采购人要求更换到位，</w:t>
      </w:r>
      <w:r>
        <w:rPr>
          <w:rFonts w:hint="eastAsia" w:ascii="宋体" w:hAnsi="宋体" w:cs="宋体"/>
          <w:spacing w:val="-7"/>
          <w:sz w:val="24"/>
        </w:rPr>
        <w:t>如服务人员更换不到位，则按照该需要更换的服务人员的剩余全部额度进行扣减服务费用。</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（5）中标人须具备协调项目所在地有关单位（街道、居委及公安等部门）的能力和措施，以协助采购人解决调解员工作期间所可能遇上的各种状况。</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（6）</w:t>
      </w:r>
      <w:r>
        <w:rPr>
          <w:rFonts w:hint="eastAsia" w:ascii="宋体" w:hAnsi="宋体" w:cs="宋体"/>
          <w:spacing w:val="-10"/>
          <w:sz w:val="24"/>
        </w:rPr>
        <w:t>中标人必须按照国家相关保密规定，在合同签订前签订保密协议，保守采购人的工</w:t>
      </w:r>
      <w:r>
        <w:rPr>
          <w:rFonts w:hint="eastAsia" w:ascii="宋体" w:hAnsi="宋体" w:cs="宋体"/>
          <w:spacing w:val="-8"/>
          <w:sz w:val="24"/>
        </w:rPr>
        <w:t>作秘密。因中标人保密履责不到位，造成不良影响和损失的，采购人有权终止合同并追究中标人</w:t>
      </w:r>
      <w:r>
        <w:rPr>
          <w:rFonts w:hint="eastAsia" w:ascii="宋体" w:hAnsi="宋体" w:cs="宋体"/>
          <w:spacing w:val="-5"/>
          <w:sz w:val="24"/>
        </w:rPr>
        <w:t>法律责任。</w:t>
      </w:r>
    </w:p>
    <w:p>
      <w:pPr>
        <w:pStyle w:val="20"/>
        <w:spacing w:after="0" w:line="360" w:lineRule="auto"/>
        <w:ind w:firstLine="480" w:firstLineChars="200"/>
        <w:rPr>
          <w:rFonts w:ascii="宋体" w:hAnsi="宋体" w:cs="宋体"/>
          <w:spacing w:val="-4"/>
          <w:sz w:val="24"/>
        </w:rPr>
      </w:pPr>
      <w:r>
        <w:rPr>
          <w:rFonts w:hint="eastAsia" w:ascii="宋体" w:hAnsi="宋体" w:cs="宋体"/>
          <w:sz w:val="24"/>
        </w:rPr>
        <w:t>（7）</w:t>
      </w:r>
      <w:r>
        <w:rPr>
          <w:rFonts w:hint="eastAsia" w:ascii="宋体" w:hAnsi="宋体" w:cs="宋体"/>
          <w:spacing w:val="-7"/>
          <w:sz w:val="24"/>
        </w:rPr>
        <w:t>中标人应定期</w:t>
      </w:r>
      <w:r>
        <w:rPr>
          <w:rFonts w:hint="eastAsia" w:ascii="宋体" w:hAnsi="宋体" w:cs="宋体"/>
          <w:sz w:val="24"/>
        </w:rPr>
        <w:t>（</w:t>
      </w:r>
      <w:r>
        <w:rPr>
          <w:rFonts w:hint="eastAsia" w:ascii="宋体" w:hAnsi="宋体" w:cs="宋体"/>
          <w:spacing w:val="-8"/>
          <w:sz w:val="24"/>
        </w:rPr>
        <w:t xml:space="preserve">每季度 </w:t>
      </w:r>
      <w:r>
        <w:rPr>
          <w:rFonts w:hint="eastAsia" w:ascii="宋体" w:hAnsi="宋体" w:cs="宋体"/>
          <w:sz w:val="24"/>
        </w:rPr>
        <w:t>1</w:t>
      </w:r>
      <w:r>
        <w:rPr>
          <w:rFonts w:hint="eastAsia" w:ascii="宋体" w:hAnsi="宋体" w:cs="宋体"/>
          <w:spacing w:val="-19"/>
          <w:sz w:val="24"/>
        </w:rPr>
        <w:t xml:space="preserve"> 次</w:t>
      </w:r>
      <w:r>
        <w:rPr>
          <w:rFonts w:hint="eastAsia" w:ascii="宋体" w:hAnsi="宋体" w:cs="宋体"/>
          <w:spacing w:val="-15"/>
          <w:sz w:val="24"/>
        </w:rPr>
        <w:t>）</w:t>
      </w:r>
      <w:r>
        <w:rPr>
          <w:rFonts w:hint="eastAsia" w:ascii="宋体" w:hAnsi="宋体" w:cs="宋体"/>
          <w:spacing w:val="-6"/>
          <w:sz w:val="24"/>
        </w:rPr>
        <w:t>对其服务人员的品德、技能、考勤、业绩等方面进行考核</w:t>
      </w:r>
      <w:r>
        <w:rPr>
          <w:rFonts w:hint="eastAsia" w:ascii="宋体" w:hAnsi="宋体" w:cs="宋体"/>
          <w:spacing w:val="-4"/>
          <w:sz w:val="24"/>
        </w:rPr>
        <w:t>并函告采购人。</w:t>
      </w:r>
    </w:p>
    <w:p>
      <w:pPr>
        <w:spacing w:line="360" w:lineRule="auto"/>
        <w:ind w:firstLine="482" w:firstLineChars="200"/>
        <w:jc w:val="left"/>
        <w:rPr>
          <w:rFonts w:ascii="宋体" w:hAnsi="宋体" w:cs="宋体"/>
          <w:b/>
          <w:kern w:val="28"/>
          <w:sz w:val="24"/>
        </w:rPr>
      </w:pPr>
      <w:r>
        <w:rPr>
          <w:rFonts w:hint="eastAsia" w:ascii="宋体" w:hAnsi="宋体" w:cs="宋体"/>
          <w:b/>
          <w:kern w:val="28"/>
          <w:sz w:val="24"/>
        </w:rPr>
        <w:t>（五）考核要求</w:t>
      </w:r>
    </w:p>
    <w:p>
      <w:pPr>
        <w:pStyle w:val="10"/>
        <w:autoSpaceDE w:val="0"/>
        <w:autoSpaceDN w:val="0"/>
        <w:spacing w:line="360" w:lineRule="auto"/>
        <w:ind w:firstLine="482" w:firstLineChars="200"/>
        <w:jc w:val="left"/>
        <w:rPr>
          <w:rFonts w:ascii="宋体" w:hAnsi="宋体" w:cs="宋体"/>
          <w:sz w:val="24"/>
        </w:rPr>
      </w:pPr>
      <w:r>
        <w:rPr>
          <w:rFonts w:hint="eastAsia" w:cs="宋体"/>
          <w:sz w:val="24"/>
        </w:rPr>
        <w:t>1.</w:t>
      </w:r>
      <w:r>
        <w:rPr>
          <w:rFonts w:hint="eastAsia" w:ascii="宋体" w:hAnsi="宋体" w:cs="宋体"/>
          <w:sz w:val="24"/>
        </w:rPr>
        <w:t>根据市财政局和采购人提出的评估要求由采购人和中标人共同认可的第三方机构对本项目的以下内容进行绩效评估，绩效评估必须包括书面资料、案件审核和实地考核等内容。</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w:t>
      </w:r>
      <w:r>
        <w:rPr>
          <w:rFonts w:hint="eastAsia" w:cs="宋体"/>
          <w:sz w:val="24"/>
        </w:rPr>
        <w:t>1</w:t>
      </w:r>
      <w:r>
        <w:rPr>
          <w:rFonts w:hint="eastAsia" w:ascii="宋体" w:hAnsi="宋体" w:cs="宋体"/>
          <w:sz w:val="24"/>
        </w:rPr>
        <w:t>）专职人民调解员人均每年度调解案件不少于65件。</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w:t>
      </w:r>
      <w:r>
        <w:rPr>
          <w:rFonts w:hint="eastAsia" w:cs="宋体"/>
          <w:sz w:val="24"/>
        </w:rPr>
        <w:t>2</w:t>
      </w:r>
      <w:r>
        <w:rPr>
          <w:rFonts w:hint="eastAsia" w:ascii="宋体" w:hAnsi="宋体" w:cs="宋体"/>
          <w:sz w:val="24"/>
        </w:rPr>
        <w:t>）调解案件服务满意度不低于 85%。</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w:t>
      </w:r>
      <w:r>
        <w:rPr>
          <w:rFonts w:hint="eastAsia" w:cs="宋体"/>
          <w:sz w:val="24"/>
        </w:rPr>
        <w:t>3</w:t>
      </w:r>
      <w:r>
        <w:rPr>
          <w:rFonts w:hint="eastAsia" w:ascii="宋体" w:hAnsi="宋体" w:cs="宋体"/>
          <w:sz w:val="24"/>
        </w:rPr>
        <w:t xml:space="preserve">）人均调解成功率不低于 </w:t>
      </w:r>
      <w:r>
        <w:rPr>
          <w:rFonts w:hint="eastAsia" w:cs="宋体"/>
          <w:sz w:val="24"/>
        </w:rPr>
        <w:t>65</w:t>
      </w:r>
      <w:r>
        <w:rPr>
          <w:rFonts w:hint="eastAsia" w:ascii="宋体" w:hAnsi="宋体" w:cs="宋体"/>
          <w:sz w:val="24"/>
        </w:rPr>
        <w:t>%。</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w:t>
      </w:r>
      <w:r>
        <w:rPr>
          <w:rFonts w:hint="eastAsia" w:cs="宋体"/>
          <w:sz w:val="24"/>
        </w:rPr>
        <w:t>4</w:t>
      </w:r>
      <w:r>
        <w:rPr>
          <w:rFonts w:hint="eastAsia" w:ascii="宋体" w:hAnsi="宋体" w:cs="宋体"/>
          <w:sz w:val="24"/>
        </w:rPr>
        <w:t>）案件调解率达到 100%。</w:t>
      </w:r>
    </w:p>
    <w:p>
      <w:pPr>
        <w:pStyle w:val="10"/>
        <w:autoSpaceDE w:val="0"/>
        <w:autoSpaceDN w:val="0"/>
        <w:spacing w:line="360" w:lineRule="auto"/>
        <w:ind w:firstLine="482" w:firstLineChars="200"/>
        <w:jc w:val="left"/>
        <w:rPr>
          <w:rFonts w:ascii="宋体" w:hAnsi="宋体" w:cs="宋体"/>
          <w:sz w:val="24"/>
        </w:rPr>
      </w:pPr>
      <w:r>
        <w:rPr>
          <w:rFonts w:hint="eastAsia" w:cs="宋体"/>
          <w:sz w:val="24"/>
        </w:rPr>
        <w:t>2.</w:t>
      </w:r>
      <w:r>
        <w:rPr>
          <w:rFonts w:hint="eastAsia" w:ascii="宋体" w:hAnsi="宋体" w:cs="宋体"/>
          <w:sz w:val="24"/>
        </w:rPr>
        <w:t>绩效评估通过后，中标人请携带以下材料办理支付手续：</w:t>
      </w:r>
    </w:p>
    <w:p>
      <w:pPr>
        <w:pStyle w:val="10"/>
        <w:autoSpaceDE w:val="0"/>
        <w:autoSpaceDN w:val="0"/>
        <w:spacing w:line="360" w:lineRule="auto"/>
        <w:ind w:firstLine="482" w:firstLineChars="200"/>
        <w:jc w:val="left"/>
        <w:rPr>
          <w:rFonts w:ascii="宋体" w:hAnsi="宋体" w:cs="宋体"/>
          <w:sz w:val="24"/>
        </w:rPr>
      </w:pPr>
      <w:r>
        <w:rPr>
          <w:rFonts w:hint="eastAsia" w:cs="宋体"/>
          <w:sz w:val="24"/>
        </w:rPr>
        <w:t>（1）</w:t>
      </w:r>
      <w:r>
        <w:rPr>
          <w:rFonts w:hint="eastAsia" w:ascii="宋体" w:hAnsi="宋体" w:cs="宋体"/>
          <w:sz w:val="24"/>
        </w:rPr>
        <w:t>采购合同；</w:t>
      </w:r>
    </w:p>
    <w:p>
      <w:pPr>
        <w:pStyle w:val="10"/>
        <w:autoSpaceDE w:val="0"/>
        <w:autoSpaceDN w:val="0"/>
        <w:spacing w:line="360" w:lineRule="auto"/>
        <w:ind w:firstLine="482" w:firstLineChars="200"/>
        <w:jc w:val="left"/>
        <w:rPr>
          <w:rFonts w:ascii="宋体" w:hAnsi="宋体" w:cs="宋体"/>
          <w:sz w:val="24"/>
        </w:rPr>
      </w:pPr>
      <w:r>
        <w:rPr>
          <w:rFonts w:hint="eastAsia" w:cs="宋体"/>
          <w:sz w:val="24"/>
        </w:rPr>
        <w:t>（2）</w:t>
      </w:r>
      <w:r>
        <w:rPr>
          <w:rFonts w:hint="eastAsia" w:ascii="宋体" w:hAnsi="宋体" w:cs="宋体"/>
          <w:sz w:val="24"/>
        </w:rPr>
        <w:t>中标人开具的正式发票；</w:t>
      </w:r>
    </w:p>
    <w:p>
      <w:pPr>
        <w:pStyle w:val="10"/>
        <w:autoSpaceDE w:val="0"/>
        <w:autoSpaceDN w:val="0"/>
        <w:spacing w:line="360" w:lineRule="auto"/>
        <w:ind w:firstLine="478" w:firstLineChars="200"/>
        <w:jc w:val="left"/>
        <w:rPr>
          <w:rFonts w:ascii="宋体" w:hAnsi="宋体" w:cs="宋体"/>
          <w:sz w:val="24"/>
        </w:rPr>
      </w:pPr>
      <w:r>
        <w:rPr>
          <w:rFonts w:hint="eastAsia" w:cs="宋体"/>
          <w:spacing w:val="-1"/>
          <w:sz w:val="24"/>
        </w:rPr>
        <w:t>（3）</w:t>
      </w:r>
      <w:r>
        <w:rPr>
          <w:rFonts w:hint="eastAsia" w:ascii="宋体" w:hAnsi="宋体" w:cs="宋体"/>
          <w:spacing w:val="-3"/>
          <w:sz w:val="24"/>
        </w:rPr>
        <w:t>绩效考评材料（加盖采</w:t>
      </w:r>
      <w:r>
        <w:rPr>
          <w:rFonts w:hint="eastAsia"/>
          <w:sz w:val="24"/>
        </w:rPr>
        <w:t>购人公章）；</w:t>
      </w:r>
    </w:p>
    <w:p>
      <w:pPr>
        <w:pStyle w:val="10"/>
        <w:autoSpaceDE w:val="0"/>
        <w:autoSpaceDN w:val="0"/>
        <w:spacing w:line="360" w:lineRule="auto"/>
        <w:ind w:firstLine="482" w:firstLineChars="200"/>
        <w:jc w:val="left"/>
        <w:rPr>
          <w:rFonts w:ascii="宋体" w:hAnsi="宋体" w:cs="宋体"/>
          <w:sz w:val="24"/>
        </w:rPr>
      </w:pPr>
      <w:r>
        <w:rPr>
          <w:rFonts w:hint="eastAsia" w:cs="宋体"/>
          <w:sz w:val="24"/>
        </w:rPr>
        <w:t>（4）</w:t>
      </w:r>
      <w:r>
        <w:rPr>
          <w:rFonts w:hint="eastAsia" w:ascii="宋体" w:hAnsi="宋体" w:cs="宋体"/>
          <w:sz w:val="24"/>
        </w:rPr>
        <w:t>中标通知书。</w:t>
      </w:r>
    </w:p>
    <w:p>
      <w:pPr>
        <w:pStyle w:val="10"/>
        <w:autoSpaceDE w:val="0"/>
        <w:autoSpaceDN w:val="0"/>
        <w:spacing w:line="360" w:lineRule="auto"/>
        <w:ind w:firstLine="482" w:firstLineChars="200"/>
        <w:jc w:val="left"/>
        <w:rPr>
          <w:rFonts w:ascii="宋体" w:hAnsi="宋体" w:cs="宋体"/>
          <w:sz w:val="24"/>
        </w:rPr>
      </w:pPr>
      <w:r>
        <w:rPr>
          <w:rFonts w:hint="eastAsia" w:cs="宋体"/>
          <w:sz w:val="24"/>
        </w:rPr>
        <w:t>3.</w:t>
      </w:r>
      <w:r>
        <w:rPr>
          <w:rFonts w:hint="eastAsia" w:ascii="宋体" w:hAnsi="宋体"/>
          <w:sz w:val="24"/>
          <w:lang w:val="en-GB"/>
        </w:rPr>
        <w:t>★</w:t>
      </w:r>
      <w:r>
        <w:rPr>
          <w:rFonts w:hint="eastAsia" w:cs="宋体"/>
          <w:sz w:val="24"/>
        </w:rPr>
        <w:t>付款方式：</w:t>
      </w:r>
      <w:r>
        <w:rPr>
          <w:rFonts w:hint="eastAsia" w:ascii="宋体" w:hAnsi="宋体"/>
          <w:sz w:val="24"/>
          <w:lang w:eastAsia="zh-CN"/>
        </w:rPr>
        <w:t>服务费以中标金额及考核指标按月计算，中标人向招标人提供上月服务费用清单，</w:t>
      </w:r>
      <w:r>
        <w:rPr>
          <w:rFonts w:hint="eastAsia" w:ascii="宋体" w:hAnsi="宋体"/>
          <w:sz w:val="24"/>
        </w:rPr>
        <w:t>招标人核实确认后，根据每月最终实际发生额进行结算，具体付款时间以财政审定的拨款时间为准，招标人不承担因延迟付款所产生的利息等违约责任</w:t>
      </w:r>
      <w:r>
        <w:rPr>
          <w:rFonts w:hint="eastAsia"/>
          <w:sz w:val="24"/>
        </w:rPr>
        <w:t>。</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注：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pStyle w:val="2"/>
        <w:keepNext w:val="0"/>
        <w:keepLines w:val="0"/>
        <w:autoSpaceDE w:val="0"/>
        <w:autoSpaceDN w:val="0"/>
        <w:spacing w:before="0" w:after="0"/>
        <w:ind w:firstLine="462" w:firstLineChars="200"/>
        <w:jc w:val="left"/>
        <w:rPr>
          <w:rFonts w:ascii="宋体" w:hAnsi="宋体" w:cs="宋体"/>
          <w:sz w:val="24"/>
          <w:szCs w:val="24"/>
        </w:rPr>
      </w:pPr>
      <w:r>
        <w:rPr>
          <w:rFonts w:hint="eastAsia" w:cs="宋体"/>
          <w:spacing w:val="-5"/>
          <w:sz w:val="24"/>
          <w:szCs w:val="24"/>
        </w:rPr>
        <w:t>（六）</w:t>
      </w:r>
      <w:r>
        <w:rPr>
          <w:rFonts w:hint="eastAsia" w:ascii="宋体" w:hAnsi="宋体" w:cs="宋体"/>
          <w:sz w:val="24"/>
          <w:szCs w:val="24"/>
        </w:rPr>
        <w:t>考核指标完成度付款规定</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 xml:space="preserve">1.考核的各项指标达不到考核要求的60%，中标人应按合同总价的 </w:t>
      </w:r>
      <w:r>
        <w:rPr>
          <w:rFonts w:hint="eastAsia" w:cs="宋体"/>
          <w:sz w:val="24"/>
        </w:rPr>
        <w:t>2</w:t>
      </w:r>
      <w:r>
        <w:rPr>
          <w:rFonts w:hint="eastAsia" w:ascii="宋体" w:hAnsi="宋体" w:cs="宋体"/>
          <w:sz w:val="24"/>
        </w:rPr>
        <w:t>0%的标准向采购人支付违约金，且采购人有权在应支付给中标人的合同费用中直接扣除相应款项作为违约金。</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2.考核的各项指标仅达到考核要求的60%（含）－80%（不含），中标人应按合同总价的</w:t>
      </w:r>
      <w:r>
        <w:rPr>
          <w:rFonts w:hint="eastAsia" w:cs="宋体"/>
          <w:sz w:val="24"/>
        </w:rPr>
        <w:t>1</w:t>
      </w:r>
      <w:r>
        <w:rPr>
          <w:rFonts w:hint="eastAsia" w:ascii="宋体" w:hAnsi="宋体" w:cs="宋体"/>
          <w:sz w:val="24"/>
        </w:rPr>
        <w:t>0%的标准向采购人支付违约金，且采购人有权在应支付给中标人的合同费用中直接扣除相应款项作为违约金。</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3.考核的各项指标仅达到考核要求的80%（含）－90%（不含），中标人应按合同总价的</w:t>
      </w:r>
      <w:r>
        <w:rPr>
          <w:rFonts w:hint="eastAsia" w:cs="宋体"/>
          <w:sz w:val="24"/>
        </w:rPr>
        <w:t>5</w:t>
      </w:r>
      <w:r>
        <w:rPr>
          <w:rFonts w:hint="eastAsia" w:ascii="宋体" w:hAnsi="宋体" w:cs="宋体"/>
          <w:sz w:val="24"/>
        </w:rPr>
        <w:t>%的标准向采购人支付违约金，且采购人有权在应支付给中标人的合同费用中直接扣除相应款项作为违约金。</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4.考核的各项指标仅达到考核要求的90%（含）－100%（不含），中标人应按合同总价的</w:t>
      </w:r>
      <w:r>
        <w:rPr>
          <w:rFonts w:hint="eastAsia" w:cs="宋体"/>
          <w:sz w:val="24"/>
        </w:rPr>
        <w:t>3</w:t>
      </w:r>
      <w:r>
        <w:rPr>
          <w:rFonts w:hint="eastAsia" w:ascii="宋体" w:hAnsi="宋体" w:cs="宋体"/>
          <w:sz w:val="24"/>
        </w:rPr>
        <w:t>%的标准向采购人支付违约金，且采购人有权在应支付给中标人的合同费用中直接扣除相应款项作为违约金。</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5.考核的各项指标达到或高于考核要求的，不扣除经费。</w:t>
      </w:r>
    </w:p>
    <w:p>
      <w:pPr>
        <w:spacing w:line="360" w:lineRule="auto"/>
        <w:ind w:firstLine="482" w:firstLineChars="200"/>
        <w:jc w:val="left"/>
        <w:rPr>
          <w:rFonts w:ascii="宋体" w:hAnsi="宋体" w:cs="宋体"/>
          <w:b/>
          <w:kern w:val="28"/>
          <w:sz w:val="24"/>
        </w:rPr>
      </w:pPr>
      <w:r>
        <w:rPr>
          <w:rFonts w:hint="eastAsia" w:ascii="宋体" w:hAnsi="宋体" w:cs="宋体"/>
          <w:b/>
          <w:kern w:val="28"/>
          <w:sz w:val="24"/>
        </w:rPr>
        <w:t>（七）其他</w:t>
      </w:r>
    </w:p>
    <w:p>
      <w:pPr>
        <w:spacing w:line="360" w:lineRule="auto"/>
        <w:ind w:firstLine="482" w:firstLineChars="200"/>
        <w:rPr>
          <w:rFonts w:ascii="宋体" w:hAnsi="宋体" w:cs="宋体"/>
          <w:b/>
          <w:sz w:val="24"/>
        </w:rPr>
      </w:pPr>
      <w:r>
        <w:rPr>
          <w:rFonts w:hint="eastAsia" w:ascii="宋体" w:hAnsi="宋体" w:cs="宋体"/>
          <w:b/>
          <w:sz w:val="24"/>
        </w:rPr>
        <w:t>1.保密要求</w:t>
      </w:r>
    </w:p>
    <w:p>
      <w:pPr>
        <w:spacing w:line="360" w:lineRule="auto"/>
        <w:ind w:firstLine="480" w:firstLineChars="200"/>
        <w:rPr>
          <w:rFonts w:ascii="宋体" w:hAnsi="宋体" w:cs="宋体"/>
          <w:sz w:val="24"/>
        </w:rPr>
      </w:pPr>
      <w:r>
        <w:rPr>
          <w:rFonts w:hint="eastAsia" w:ascii="宋体" w:hAnsi="宋体" w:cs="宋体"/>
          <w:sz w:val="24"/>
        </w:rPr>
        <w:t>采购人：提供项目相关资料及项目中涉及或提供的相关信息资料。</w:t>
      </w:r>
    </w:p>
    <w:p>
      <w:pPr>
        <w:spacing w:line="360" w:lineRule="auto"/>
        <w:ind w:firstLine="480" w:firstLineChars="200"/>
        <w:rPr>
          <w:rFonts w:ascii="宋体" w:hAnsi="宋体" w:cs="宋体"/>
          <w:sz w:val="24"/>
        </w:rPr>
      </w:pPr>
      <w:r>
        <w:rPr>
          <w:rFonts w:hint="eastAsia" w:ascii="宋体" w:hAnsi="宋体" w:cs="宋体"/>
          <w:sz w:val="24"/>
        </w:rPr>
        <w:t>供应商：采购人提供给供应商的资料、供应商编制完成的报告，未经采购人允许不得公开。</w:t>
      </w:r>
    </w:p>
    <w:p>
      <w:pPr>
        <w:spacing w:line="360" w:lineRule="auto"/>
        <w:ind w:firstLine="480" w:firstLineChars="200"/>
        <w:rPr>
          <w:rFonts w:ascii="宋体" w:hAnsi="宋体" w:cs="宋体"/>
          <w:sz w:val="24"/>
        </w:rPr>
      </w:pPr>
      <w:r>
        <w:rPr>
          <w:rFonts w:hint="eastAsia" w:ascii="宋体" w:hAnsi="宋体" w:cs="宋体"/>
          <w:sz w:val="24"/>
        </w:rPr>
        <w:t>（1）涉密人员范围：双方项目相关成员。</w:t>
      </w:r>
    </w:p>
    <w:p>
      <w:pPr>
        <w:spacing w:line="360" w:lineRule="auto"/>
        <w:ind w:firstLine="480" w:firstLineChars="200"/>
        <w:rPr>
          <w:rFonts w:ascii="宋体" w:hAnsi="宋体" w:cs="宋体"/>
          <w:sz w:val="24"/>
        </w:rPr>
      </w:pPr>
      <w:r>
        <w:rPr>
          <w:rFonts w:hint="eastAsia" w:ascii="宋体" w:hAnsi="宋体" w:cs="宋体"/>
          <w:sz w:val="24"/>
        </w:rPr>
        <w:t>（2）泄密责任：根据国家相关部门规定条款办理。</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2.违约责任</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（1）对于中标人或其委派服务人员违反法律法规规定或者合同约定时，导致本项目合同解除或无法履行的，中标人应向采购人支付合同总价 20%的违约金，如该违约金不足以赔偿由此给采购人造成的经济损失时，还应当赔偿全部损失。</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（2）如因中标人故意或重大过失给采购人造成损失，采购人有权要求中标人予以赔偿。</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（3）本次中标的服务岗位原则上工作时限为一年，但在下列情况下除外：</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1）采购人要求更换的；</w:t>
      </w:r>
    </w:p>
    <w:p>
      <w:pPr>
        <w:pStyle w:val="10"/>
        <w:autoSpaceDE w:val="0"/>
        <w:autoSpaceDN w:val="0"/>
        <w:spacing w:line="360" w:lineRule="auto"/>
        <w:ind w:firstLine="478" w:firstLineChars="200"/>
        <w:jc w:val="left"/>
        <w:rPr>
          <w:rFonts w:ascii="宋体" w:hAnsi="宋体" w:cs="宋体"/>
          <w:spacing w:val="-106"/>
          <w:sz w:val="24"/>
        </w:rPr>
      </w:pPr>
      <w:r>
        <w:rPr>
          <w:rFonts w:hint="eastAsia" w:ascii="宋体" w:hAnsi="宋体" w:cs="宋体"/>
          <w:spacing w:val="-1"/>
          <w:sz w:val="24"/>
        </w:rPr>
        <w:t>2</w:t>
      </w:r>
      <w:r>
        <w:rPr>
          <w:rFonts w:hint="eastAsia" w:cs="宋体"/>
          <w:spacing w:val="-3"/>
          <w:sz w:val="24"/>
        </w:rPr>
        <w:t>）</w:t>
      </w:r>
      <w:r>
        <w:rPr>
          <w:rFonts w:hint="eastAsia" w:ascii="宋体" w:hAnsi="宋体" w:cs="宋体"/>
          <w:spacing w:val="-3"/>
          <w:sz w:val="24"/>
        </w:rPr>
        <w:t>采购人经过评估认为要调整具体服务岗位的</w:t>
      </w:r>
      <w:r>
        <w:rPr>
          <w:rFonts w:hint="eastAsia" w:ascii="宋体" w:hAnsi="宋体" w:cs="宋体"/>
          <w:sz w:val="24"/>
        </w:rPr>
        <w:t>（</w:t>
      </w:r>
      <w:r>
        <w:rPr>
          <w:rFonts w:hint="eastAsia" w:ascii="宋体" w:hAnsi="宋体" w:cs="宋体"/>
          <w:spacing w:val="-3"/>
          <w:sz w:val="24"/>
        </w:rPr>
        <w:t>但原则上要从新增服务岗位中进行对等补充</w:t>
      </w:r>
      <w:r>
        <w:rPr>
          <w:rFonts w:hint="eastAsia" w:ascii="宋体" w:hAnsi="宋体" w:cs="宋体"/>
          <w:spacing w:val="-106"/>
          <w:sz w:val="24"/>
        </w:rPr>
        <w:t>）</w:t>
      </w:r>
    </w:p>
    <w:p>
      <w:pPr>
        <w:pStyle w:val="10"/>
        <w:autoSpaceDE w:val="0"/>
        <w:autoSpaceDN w:val="0"/>
        <w:spacing w:line="360" w:lineRule="auto"/>
        <w:ind w:firstLine="482" w:firstLineChars="200"/>
        <w:jc w:val="left"/>
        <w:rPr>
          <w:rFonts w:ascii="宋体" w:hAnsi="宋体" w:cs="宋体"/>
          <w:sz w:val="24"/>
        </w:rPr>
      </w:pPr>
      <w:r>
        <w:rPr>
          <w:rFonts w:hint="eastAsia" w:ascii="宋体" w:hAnsi="宋体" w:cs="宋体"/>
          <w:sz w:val="24"/>
        </w:rPr>
        <w:t>3</w:t>
      </w:r>
      <w:r>
        <w:rPr>
          <w:rFonts w:hint="eastAsia" w:cs="宋体"/>
          <w:sz w:val="24"/>
        </w:rPr>
        <w:t>）</w:t>
      </w:r>
      <w:r>
        <w:rPr>
          <w:rFonts w:hint="eastAsia" w:ascii="宋体" w:hAnsi="宋体" w:cs="宋体"/>
          <w:sz w:val="24"/>
        </w:rPr>
        <w:t>中标人提出终止聘用的。</w:t>
      </w:r>
    </w:p>
    <w:p>
      <w:pPr>
        <w:pStyle w:val="10"/>
        <w:autoSpaceDE w:val="0"/>
        <w:autoSpaceDN w:val="0"/>
        <w:spacing w:line="360" w:lineRule="auto"/>
        <w:ind w:firstLine="482" w:firstLineChars="200"/>
        <w:jc w:val="left"/>
        <w:rPr>
          <w:rFonts w:ascii="宋体" w:hAnsi="宋体" w:cs="宋体"/>
          <w:sz w:val="24"/>
        </w:rPr>
      </w:pPr>
      <w:r>
        <w:rPr>
          <w:rFonts w:hint="eastAsia" w:cs="宋体"/>
          <w:sz w:val="24"/>
        </w:rPr>
        <w:t>3.中标人须配合完成招标人安排的司法行政业务相关的其他工作。</w:t>
      </w:r>
    </w:p>
    <w:p>
      <w:pPr>
        <w:spacing w:line="360" w:lineRule="auto"/>
        <w:ind w:firstLine="480" w:firstLineChars="200"/>
        <w:rPr>
          <w:rFonts w:ascii="宋体" w:hAnsi="宋体"/>
          <w:sz w:val="24"/>
          <w:lang w:val="en-GB"/>
        </w:rPr>
      </w:pPr>
      <w:r>
        <w:rPr>
          <w:rFonts w:hint="eastAsia" w:ascii="宋体" w:hAnsi="宋体" w:cs="宋体"/>
          <w:kern w:val="0"/>
          <w:sz w:val="24"/>
        </w:rPr>
        <w:t>4.</w:t>
      </w:r>
      <w:r>
        <w:rPr>
          <w:rFonts w:hint="eastAsia" w:ascii="宋体" w:hAnsi="宋体"/>
          <w:sz w:val="24"/>
          <w:lang w:val="en-GB"/>
        </w:rPr>
        <w:t>中标人要明确职责，工作中应加强与招标人联系，认真做好服务保障工作。</w:t>
      </w:r>
    </w:p>
    <w:p>
      <w:pPr>
        <w:spacing w:line="360" w:lineRule="auto"/>
        <w:ind w:firstLine="480" w:firstLineChars="200"/>
        <w:rPr>
          <w:rFonts w:ascii="宋体" w:hAnsi="宋体"/>
          <w:sz w:val="24"/>
          <w:lang w:val="en-GB"/>
        </w:rPr>
      </w:pPr>
      <w:r>
        <w:rPr>
          <w:rFonts w:hint="eastAsia" w:ascii="宋体" w:hAnsi="宋体"/>
          <w:sz w:val="24"/>
        </w:rPr>
        <w:t>5.</w:t>
      </w:r>
      <w:r>
        <w:rPr>
          <w:rFonts w:hint="eastAsia" w:ascii="宋体" w:hAnsi="宋体"/>
          <w:sz w:val="24"/>
          <w:lang w:val="en-GB"/>
        </w:rPr>
        <w:t>未尽事宜由招标人和中标人协商解决。</w:t>
      </w:r>
    </w:p>
    <w:p>
      <w:pPr>
        <w:spacing w:line="360" w:lineRule="auto"/>
        <w:ind w:firstLine="480" w:firstLineChars="200"/>
        <w:rPr>
          <w:rFonts w:ascii="宋体" w:hAnsi="宋体"/>
          <w:sz w:val="24"/>
          <w:lang w:val="en-GB"/>
        </w:rPr>
      </w:pPr>
      <w:r>
        <w:rPr>
          <w:rFonts w:hint="eastAsia" w:ascii="宋体" w:hAnsi="宋体"/>
          <w:sz w:val="24"/>
        </w:rPr>
        <w:t>6.</w:t>
      </w:r>
      <w:r>
        <w:rPr>
          <w:rFonts w:hint="eastAsia" w:ascii="宋体" w:hAnsi="宋体"/>
          <w:sz w:val="24"/>
          <w:lang w:val="en-GB"/>
        </w:rPr>
        <w:t>履行合同期间内，所有意外事件发生等涉及的责任和事故赔偿由投标人承担。</w:t>
      </w:r>
    </w:p>
    <w:p>
      <w:pPr>
        <w:spacing w:line="360" w:lineRule="auto"/>
        <w:ind w:firstLine="480" w:firstLineChars="200"/>
        <w:rPr>
          <w:rFonts w:ascii="宋体" w:hAnsi="宋体"/>
          <w:sz w:val="24"/>
          <w:lang w:val="en-GB"/>
        </w:rPr>
      </w:pPr>
      <w:r>
        <w:rPr>
          <w:rFonts w:hint="eastAsia" w:ascii="宋体" w:hAnsi="宋体"/>
          <w:sz w:val="24"/>
        </w:rPr>
        <w:t>7.</w:t>
      </w:r>
      <w:r>
        <w:rPr>
          <w:rFonts w:hint="eastAsia" w:ascii="宋体" w:hAnsi="宋体"/>
          <w:sz w:val="24"/>
          <w:lang w:val="en-GB"/>
        </w:rPr>
        <w:t>中标人在合同期内未达到采购人要求，给招标人造成工作影响的，招标人有权终止合同。</w:t>
      </w:r>
    </w:p>
    <w:p>
      <w:pPr>
        <w:spacing w:line="360" w:lineRule="auto"/>
        <w:jc w:val="center"/>
        <w:rPr>
          <w:rFonts w:ascii="宋体" w:hAnsi="宋体" w:cs="宋体"/>
          <w:b/>
          <w:bCs/>
          <w:sz w:val="32"/>
          <w:szCs w:val="32"/>
        </w:rPr>
      </w:pPr>
      <w:r>
        <w:rPr>
          <w:rFonts w:hint="eastAsia" w:ascii="宋体" w:hAnsi="宋体" w:cs="宋体"/>
          <w:b/>
          <w:bCs/>
          <w:kern w:val="0"/>
          <w:sz w:val="32"/>
          <w:szCs w:val="32"/>
        </w:rPr>
        <w:t>二、</w:t>
      </w:r>
      <w:r>
        <w:rPr>
          <w:rFonts w:hint="eastAsia" w:ascii="宋体" w:hAnsi="宋体" w:cs="宋体"/>
          <w:kern w:val="0"/>
          <w:sz w:val="24"/>
        </w:rPr>
        <w:t>★</w:t>
      </w:r>
      <w:r>
        <w:rPr>
          <w:rFonts w:hint="eastAsia" w:ascii="宋体" w:hAnsi="宋体" w:cs="宋体"/>
          <w:b/>
          <w:bCs/>
          <w:sz w:val="32"/>
          <w:szCs w:val="32"/>
        </w:rPr>
        <w:t>商务部分实质性要求</w:t>
      </w:r>
    </w:p>
    <w:tbl>
      <w:tblPr>
        <w:tblStyle w:val="2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363"/>
        <w:gridCol w:w="6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57" w:type="dxa"/>
          </w:tcPr>
          <w:p>
            <w:pPr>
              <w:spacing w:line="360" w:lineRule="auto"/>
              <w:jc w:val="center"/>
              <w:rPr>
                <w:rFonts w:ascii="宋体" w:hAnsi="宋体" w:cs="宋体"/>
                <w:b/>
                <w:kern w:val="0"/>
                <w:szCs w:val="21"/>
              </w:rPr>
            </w:pPr>
            <w:r>
              <w:rPr>
                <w:rFonts w:hint="eastAsia" w:ascii="宋体" w:hAnsi="宋体" w:cs="宋体"/>
                <w:b/>
                <w:kern w:val="0"/>
                <w:szCs w:val="21"/>
              </w:rPr>
              <w:t>序号</w:t>
            </w:r>
          </w:p>
        </w:tc>
        <w:tc>
          <w:tcPr>
            <w:tcW w:w="1363" w:type="dxa"/>
          </w:tcPr>
          <w:p>
            <w:pPr>
              <w:spacing w:line="360" w:lineRule="auto"/>
              <w:jc w:val="center"/>
              <w:rPr>
                <w:rFonts w:ascii="宋体" w:hAnsi="宋体" w:cs="宋体"/>
                <w:b/>
                <w:kern w:val="0"/>
                <w:szCs w:val="21"/>
              </w:rPr>
            </w:pPr>
            <w:r>
              <w:rPr>
                <w:rFonts w:hint="eastAsia" w:ascii="宋体" w:hAnsi="宋体" w:cs="宋体"/>
                <w:b/>
                <w:kern w:val="0"/>
                <w:szCs w:val="21"/>
              </w:rPr>
              <w:t>内容</w:t>
            </w:r>
          </w:p>
        </w:tc>
        <w:tc>
          <w:tcPr>
            <w:tcW w:w="6756" w:type="dxa"/>
          </w:tcPr>
          <w:p>
            <w:pPr>
              <w:spacing w:line="360" w:lineRule="auto"/>
              <w:jc w:val="center"/>
              <w:rPr>
                <w:rFonts w:ascii="宋体" w:hAnsi="宋体" w:cs="宋体"/>
                <w:b/>
                <w:kern w:val="0"/>
                <w:szCs w:val="21"/>
              </w:rPr>
            </w:pPr>
            <w:r>
              <w:rPr>
                <w:rFonts w:hint="eastAsia" w:ascii="宋体" w:hAnsi="宋体" w:cs="宋体"/>
                <w:b/>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57" w:type="dxa"/>
            <w:vAlign w:val="center"/>
          </w:tcPr>
          <w:p>
            <w:pPr>
              <w:spacing w:line="360" w:lineRule="auto"/>
              <w:jc w:val="center"/>
              <w:rPr>
                <w:rFonts w:ascii="宋体" w:hAnsi="宋体" w:cs="宋体"/>
                <w:kern w:val="0"/>
                <w:szCs w:val="21"/>
              </w:rPr>
            </w:pPr>
            <w:r>
              <w:rPr>
                <w:rFonts w:hint="eastAsia" w:ascii="宋体" w:hAnsi="宋体" w:cs="宋体"/>
                <w:kern w:val="0"/>
                <w:szCs w:val="21"/>
              </w:rPr>
              <w:t>1</w:t>
            </w:r>
          </w:p>
        </w:tc>
        <w:tc>
          <w:tcPr>
            <w:tcW w:w="1363"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服务期限</w:t>
            </w:r>
          </w:p>
        </w:tc>
        <w:tc>
          <w:tcPr>
            <w:tcW w:w="6756" w:type="dxa"/>
            <w:vAlign w:val="center"/>
          </w:tcPr>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自合同签订之日起一年（在采购人落实下一年度财政预算的前提下，且本项目采购需求相对固定、具有延续性，价格变化幅度小，双方协商同意，可依据本次采购结果所签订的合同续签一年,最多续签两次）。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jc w:val="center"/>
        </w:trPr>
        <w:tc>
          <w:tcPr>
            <w:tcW w:w="657" w:type="dxa"/>
            <w:vAlign w:val="center"/>
          </w:tcPr>
          <w:p>
            <w:pPr>
              <w:spacing w:line="360" w:lineRule="auto"/>
              <w:jc w:val="center"/>
              <w:rPr>
                <w:rFonts w:ascii="宋体" w:hAnsi="宋体" w:cs="宋体"/>
                <w:kern w:val="0"/>
                <w:szCs w:val="21"/>
              </w:rPr>
            </w:pPr>
            <w:r>
              <w:rPr>
                <w:rFonts w:hint="eastAsia" w:ascii="宋体" w:hAnsi="宋体" w:cs="宋体"/>
                <w:kern w:val="0"/>
                <w:szCs w:val="21"/>
              </w:rPr>
              <w:t>2</w:t>
            </w:r>
          </w:p>
        </w:tc>
        <w:tc>
          <w:tcPr>
            <w:tcW w:w="1363" w:type="dxa"/>
            <w:vAlign w:val="center"/>
          </w:tcPr>
          <w:p>
            <w:pPr>
              <w:adjustRightInd w:val="0"/>
              <w:snapToGrid w:val="0"/>
              <w:jc w:val="center"/>
              <w:rPr>
                <w:rFonts w:ascii="宋体" w:hAnsi="宋体" w:cs="宋体"/>
                <w:kern w:val="0"/>
                <w:szCs w:val="21"/>
              </w:rPr>
            </w:pPr>
            <w:r>
              <w:rPr>
                <w:rFonts w:hint="eastAsia" w:ascii="宋体" w:hAnsi="宋体" w:cs="宋体"/>
                <w:szCs w:val="21"/>
              </w:rPr>
              <w:t>服务地点</w:t>
            </w:r>
          </w:p>
        </w:tc>
        <w:tc>
          <w:tcPr>
            <w:tcW w:w="6756" w:type="dxa"/>
            <w:vAlign w:val="center"/>
          </w:tcPr>
          <w:p>
            <w:pPr>
              <w:adjustRightInd w:val="0"/>
              <w:snapToGrid w:val="0"/>
              <w:ind w:firstLine="420" w:firstLineChars="200"/>
              <w:rPr>
                <w:rFonts w:ascii="宋体" w:hAnsi="宋体" w:cs="宋体"/>
                <w:kern w:val="0"/>
                <w:szCs w:val="21"/>
              </w:rPr>
            </w:pPr>
            <w:r>
              <w:rPr>
                <w:rFonts w:hint="eastAsia" w:ascii="宋体" w:hAnsi="宋体" w:cs="宋体"/>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57" w:type="dxa"/>
            <w:vAlign w:val="center"/>
          </w:tcPr>
          <w:p>
            <w:pPr>
              <w:spacing w:line="360" w:lineRule="auto"/>
              <w:jc w:val="center"/>
              <w:rPr>
                <w:rFonts w:ascii="宋体" w:hAnsi="宋体" w:cs="宋体"/>
                <w:kern w:val="0"/>
                <w:szCs w:val="21"/>
              </w:rPr>
            </w:pPr>
            <w:r>
              <w:rPr>
                <w:rFonts w:hint="eastAsia" w:ascii="宋体" w:hAnsi="宋体" w:cs="宋体"/>
                <w:kern w:val="0"/>
                <w:szCs w:val="21"/>
              </w:rPr>
              <w:t>3</w:t>
            </w:r>
          </w:p>
        </w:tc>
        <w:tc>
          <w:tcPr>
            <w:tcW w:w="1363" w:type="dxa"/>
            <w:vAlign w:val="center"/>
          </w:tcPr>
          <w:p>
            <w:pPr>
              <w:adjustRightInd w:val="0"/>
              <w:snapToGrid w:val="0"/>
              <w:jc w:val="center"/>
              <w:rPr>
                <w:rFonts w:ascii="宋体" w:hAnsi="宋体" w:cs="宋体"/>
                <w:kern w:val="0"/>
                <w:szCs w:val="21"/>
              </w:rPr>
            </w:pPr>
            <w:r>
              <w:rPr>
                <w:rFonts w:hint="eastAsia" w:ascii="宋体" w:hAnsi="宋体" w:cs="宋体"/>
                <w:bCs/>
                <w:szCs w:val="21"/>
              </w:rPr>
              <w:t>付款方式</w:t>
            </w:r>
          </w:p>
        </w:tc>
        <w:tc>
          <w:tcPr>
            <w:tcW w:w="6756" w:type="dxa"/>
          </w:tcPr>
          <w:p>
            <w:pPr>
              <w:spacing w:line="400" w:lineRule="exact"/>
              <w:ind w:firstLine="420" w:firstLineChars="200"/>
              <w:rPr>
                <w:rFonts w:ascii="宋体" w:hAnsi="宋体" w:cs="宋体"/>
                <w:szCs w:val="21"/>
              </w:rPr>
            </w:pPr>
            <w:r>
              <w:rPr>
                <w:rFonts w:hint="eastAsia" w:ascii="宋体" w:hAnsi="宋体" w:cs="宋体"/>
                <w:szCs w:val="21"/>
                <w:lang w:eastAsia="zh-CN"/>
              </w:rPr>
              <w:t>服务费以中标金额及考核指标按月计算，中标人向招标人提供上月服务费用清单，</w:t>
            </w:r>
            <w:r>
              <w:rPr>
                <w:rFonts w:hint="eastAsia" w:ascii="宋体" w:hAnsi="宋体" w:cs="宋体"/>
                <w:szCs w:val="21"/>
              </w:rPr>
              <w:t>招标人核实确认后，根据每月最终实际发生额进行结算，具体付款时间以财政审定的拨款时间为准，招标人不承担因延迟付款所产生的利息等违约责任。</w:t>
            </w:r>
          </w:p>
          <w:p>
            <w:pPr>
              <w:spacing w:line="400" w:lineRule="exact"/>
              <w:ind w:firstLine="408" w:firstLineChars="200"/>
            </w:pPr>
            <w:r>
              <w:rPr>
                <w:rFonts w:hint="eastAsia" w:ascii="宋体" w:hAnsi="宋体" w:cs="宋体"/>
                <w:spacing w:val="-3"/>
                <w:szCs w:val="21"/>
              </w:rPr>
              <w:t>注：因采购人使用的是财政资金，采购人在前款规定的付款时间为向政府采购支付部门</w:t>
            </w:r>
            <w:r>
              <w:rPr>
                <w:rFonts w:hint="eastAsia" w:ascii="宋体" w:hAnsi="宋体" w:cs="宋体"/>
                <w:szCs w:val="21"/>
              </w:rPr>
              <w:t>提出办理财政支付申请手续的时间（不含政府财政支付部门审核的时间），在规定时间内提出支付申请手续后即视为采购人已经按期支付。</w:t>
            </w:r>
          </w:p>
        </w:tc>
      </w:tr>
    </w:tbl>
    <w:p>
      <w:pPr>
        <w:spacing w:line="360" w:lineRule="auto"/>
        <w:ind w:firstLine="422" w:firstLineChars="200"/>
        <w:rPr>
          <w:rFonts w:ascii="宋体" w:hAnsi="宋体" w:cs="宋体"/>
          <w:b/>
          <w:bCs/>
          <w:szCs w:val="21"/>
        </w:rPr>
      </w:pPr>
      <w:r>
        <w:rPr>
          <w:rFonts w:hint="eastAsia" w:ascii="宋体" w:hAnsi="宋体" w:cs="宋体"/>
          <w:b/>
          <w:bCs/>
          <w:szCs w:val="21"/>
        </w:rPr>
        <w:t>注：1.招标文件中标注“</w:t>
      </w:r>
      <w:r>
        <w:rPr>
          <w:rFonts w:hint="eastAsia" w:ascii="宋体" w:hAnsi="宋体"/>
          <w:b/>
          <w:bCs/>
          <w:szCs w:val="21"/>
        </w:rPr>
        <w:t>★</w:t>
      </w:r>
      <w:r>
        <w:rPr>
          <w:rFonts w:hint="eastAsia" w:ascii="宋体" w:hAnsi="宋体" w:cs="宋体"/>
          <w:b/>
          <w:bCs/>
          <w:szCs w:val="21"/>
        </w:rPr>
        <w:t>”的为</w:t>
      </w:r>
      <w:r>
        <w:rPr>
          <w:rFonts w:hint="eastAsia" w:ascii="宋体" w:hAnsi="宋体"/>
          <w:b/>
          <w:bCs/>
          <w:szCs w:val="21"/>
        </w:rPr>
        <w:t>实质性响应条款，如不满足按无效投标处理。</w:t>
      </w:r>
    </w:p>
    <w:p>
      <w:pPr>
        <w:spacing w:line="360" w:lineRule="auto"/>
        <w:ind w:firstLine="422" w:firstLineChars="200"/>
        <w:rPr>
          <w:rFonts w:ascii="宋体" w:hAnsi="宋体" w:cs="宋体"/>
          <w:b/>
          <w:bCs/>
          <w:kern w:val="0"/>
          <w:szCs w:val="21"/>
        </w:rPr>
      </w:pPr>
      <w:r>
        <w:rPr>
          <w:rFonts w:hint="eastAsia" w:ascii="宋体" w:hAnsi="宋体" w:cs="宋体"/>
          <w:b/>
          <w:bCs/>
          <w:szCs w:val="21"/>
        </w:rPr>
        <w:t>2.本需求中提出的各项功能要求和技术指标是对本项目的最基本要求，并未对一切细节做出全部详细规定，也未充分引述有关标准和规范的条文，投标人所有与本项目有关的技术标准均应等同于或高于上述要求，否则按无效投标处理。</w:t>
      </w:r>
    </w:p>
    <w:p>
      <w:pPr>
        <w:widowControl/>
        <w:snapToGrid w:val="0"/>
        <w:spacing w:line="360" w:lineRule="auto"/>
        <w:ind w:firstLine="480" w:firstLineChars="200"/>
        <w:jc w:val="left"/>
        <w:rPr>
          <w:rFonts w:ascii="宋体" w:hAnsi="宋体" w:cs="宋体"/>
          <w:kern w:val="0"/>
          <w:sz w:val="24"/>
        </w:rPr>
      </w:pPr>
    </w:p>
    <w:p>
      <w:pPr>
        <w:snapToGrid w:val="0"/>
        <w:spacing w:line="360" w:lineRule="auto"/>
        <w:ind w:firstLine="2380"/>
        <w:rPr>
          <w:rFonts w:ascii="宋体" w:hAnsi="宋体"/>
          <w:b/>
          <w:bCs/>
          <w:sz w:val="44"/>
          <w:szCs w:val="44"/>
        </w:rPr>
      </w:pPr>
    </w:p>
    <w:p>
      <w:pPr>
        <w:snapToGrid w:val="0"/>
        <w:spacing w:line="360" w:lineRule="auto"/>
        <w:ind w:firstLine="2380"/>
        <w:rPr>
          <w:rFonts w:ascii="宋体" w:hAnsi="宋体"/>
          <w:b/>
          <w:bCs/>
          <w:sz w:val="44"/>
          <w:szCs w:val="44"/>
        </w:rPr>
      </w:pPr>
    </w:p>
    <w:p>
      <w:pPr>
        <w:snapToGrid w:val="0"/>
        <w:spacing w:line="360" w:lineRule="auto"/>
        <w:ind w:firstLine="2380"/>
        <w:rPr>
          <w:rFonts w:ascii="宋体" w:hAnsi="宋体"/>
          <w:b/>
          <w:bCs/>
          <w:sz w:val="44"/>
          <w:szCs w:val="44"/>
        </w:rPr>
      </w:pPr>
    </w:p>
    <w:p>
      <w:pPr>
        <w:snapToGrid w:val="0"/>
        <w:spacing w:line="360" w:lineRule="auto"/>
        <w:ind w:firstLine="2380"/>
        <w:rPr>
          <w:rFonts w:ascii="宋体" w:hAnsi="宋体"/>
          <w:b/>
          <w:bCs/>
          <w:sz w:val="44"/>
          <w:szCs w:val="44"/>
        </w:rPr>
      </w:pPr>
    </w:p>
    <w:p>
      <w:pPr>
        <w:snapToGrid w:val="0"/>
        <w:spacing w:line="360" w:lineRule="auto"/>
        <w:ind w:firstLine="2380"/>
        <w:rPr>
          <w:rFonts w:ascii="宋体" w:hAnsi="宋体"/>
          <w:b/>
          <w:bCs/>
          <w:sz w:val="44"/>
          <w:szCs w:val="44"/>
        </w:rPr>
      </w:pPr>
    </w:p>
    <w:p>
      <w:pPr>
        <w:snapToGrid w:val="0"/>
        <w:spacing w:line="360" w:lineRule="auto"/>
        <w:ind w:firstLine="2380"/>
        <w:rPr>
          <w:rFonts w:ascii="宋体" w:hAnsi="宋体"/>
          <w:b/>
          <w:bCs/>
          <w:sz w:val="44"/>
          <w:szCs w:val="44"/>
        </w:rPr>
      </w:pPr>
    </w:p>
    <w:p>
      <w:pPr>
        <w:snapToGrid w:val="0"/>
        <w:spacing w:line="360" w:lineRule="auto"/>
        <w:ind w:firstLine="2380"/>
        <w:rPr>
          <w:rFonts w:ascii="宋体" w:hAnsi="宋体"/>
          <w:b/>
          <w:bCs/>
          <w:sz w:val="44"/>
          <w:szCs w:val="44"/>
        </w:rPr>
      </w:pPr>
    </w:p>
    <w:p>
      <w:pPr>
        <w:snapToGrid w:val="0"/>
        <w:spacing w:line="360" w:lineRule="auto"/>
        <w:ind w:firstLine="2380"/>
        <w:rPr>
          <w:rFonts w:ascii="宋体" w:hAnsi="宋体"/>
          <w:b/>
          <w:bCs/>
          <w:sz w:val="44"/>
          <w:szCs w:val="44"/>
        </w:rPr>
      </w:pPr>
    </w:p>
    <w:p>
      <w:pPr>
        <w:snapToGrid w:val="0"/>
        <w:spacing w:line="360" w:lineRule="auto"/>
        <w:ind w:firstLine="2380"/>
        <w:rPr>
          <w:rFonts w:ascii="宋体" w:hAnsi="宋体"/>
          <w:b/>
          <w:bCs/>
          <w:sz w:val="44"/>
          <w:szCs w:val="44"/>
        </w:rPr>
      </w:pPr>
    </w:p>
    <w:p>
      <w:pPr>
        <w:snapToGrid w:val="0"/>
        <w:spacing w:line="360" w:lineRule="auto"/>
        <w:ind w:firstLine="2380"/>
        <w:rPr>
          <w:rFonts w:ascii="宋体" w:hAnsi="宋体"/>
          <w:b/>
          <w:bCs/>
          <w:sz w:val="44"/>
          <w:szCs w:val="44"/>
        </w:rPr>
      </w:pPr>
    </w:p>
    <w:p>
      <w:pPr>
        <w:snapToGrid w:val="0"/>
        <w:spacing w:line="360" w:lineRule="auto"/>
        <w:ind w:firstLine="2380"/>
        <w:rPr>
          <w:rFonts w:ascii="宋体" w:hAnsi="宋体"/>
          <w:b/>
          <w:bCs/>
          <w:sz w:val="44"/>
          <w:szCs w:val="44"/>
        </w:rPr>
      </w:pPr>
    </w:p>
    <w:p>
      <w:pPr>
        <w:snapToGrid w:val="0"/>
        <w:spacing w:line="360" w:lineRule="auto"/>
        <w:ind w:firstLine="2380"/>
        <w:rPr>
          <w:rFonts w:ascii="宋体" w:hAnsi="宋体"/>
          <w:b/>
          <w:bCs/>
          <w:sz w:val="44"/>
          <w:szCs w:val="44"/>
        </w:rPr>
      </w:pPr>
    </w:p>
    <w:p>
      <w:pPr>
        <w:snapToGrid w:val="0"/>
        <w:spacing w:line="360" w:lineRule="auto"/>
        <w:ind w:firstLine="2380"/>
        <w:rPr>
          <w:rFonts w:ascii="宋体" w:hAnsi="宋体"/>
          <w:b/>
          <w:bCs/>
          <w:sz w:val="44"/>
          <w:szCs w:val="44"/>
        </w:rPr>
      </w:pPr>
    </w:p>
    <w:p>
      <w:pPr>
        <w:snapToGrid w:val="0"/>
        <w:spacing w:line="360" w:lineRule="auto"/>
        <w:ind w:firstLine="2380"/>
        <w:rPr>
          <w:rFonts w:ascii="宋体" w:hAnsi="宋体"/>
          <w:b/>
          <w:bCs/>
          <w:sz w:val="44"/>
          <w:szCs w:val="44"/>
        </w:rPr>
      </w:pPr>
    </w:p>
    <w:p>
      <w:pPr>
        <w:snapToGrid w:val="0"/>
        <w:spacing w:line="360" w:lineRule="auto"/>
        <w:ind w:firstLine="2380"/>
        <w:rPr>
          <w:rFonts w:ascii="宋体" w:hAnsi="宋体"/>
          <w:b/>
          <w:bCs/>
          <w:sz w:val="44"/>
          <w:szCs w:val="44"/>
        </w:rPr>
      </w:pPr>
    </w:p>
    <w:p>
      <w:pPr>
        <w:snapToGrid w:val="0"/>
        <w:spacing w:line="360" w:lineRule="auto"/>
        <w:ind w:firstLine="2380"/>
        <w:rPr>
          <w:rFonts w:ascii="宋体" w:hAnsi="宋体"/>
          <w:b/>
          <w:bCs/>
          <w:sz w:val="44"/>
          <w:szCs w:val="44"/>
        </w:rPr>
      </w:pPr>
    </w:p>
    <w:p>
      <w:pPr>
        <w:snapToGrid w:val="0"/>
        <w:spacing w:line="360" w:lineRule="auto"/>
        <w:ind w:firstLine="2380"/>
        <w:rPr>
          <w:rFonts w:ascii="宋体" w:hAnsi="宋体"/>
          <w:b/>
          <w:bCs/>
          <w:sz w:val="44"/>
          <w:szCs w:val="44"/>
        </w:rPr>
      </w:pPr>
    </w:p>
    <w:p>
      <w:pPr>
        <w:snapToGrid w:val="0"/>
        <w:spacing w:line="360" w:lineRule="auto"/>
        <w:ind w:firstLine="2380"/>
        <w:rPr>
          <w:rFonts w:ascii="宋体" w:hAnsi="宋体"/>
          <w:b/>
          <w:bCs/>
          <w:sz w:val="44"/>
          <w:szCs w:val="44"/>
        </w:rPr>
      </w:pPr>
    </w:p>
    <w:p>
      <w:pPr>
        <w:snapToGrid w:val="0"/>
        <w:spacing w:line="360" w:lineRule="auto"/>
        <w:ind w:firstLine="2380"/>
        <w:rPr>
          <w:rFonts w:ascii="宋体" w:hAnsi="宋体"/>
          <w:b/>
          <w:bCs/>
          <w:sz w:val="44"/>
          <w:szCs w:val="44"/>
        </w:rPr>
      </w:pPr>
    </w:p>
    <w:p>
      <w:pPr>
        <w:snapToGrid w:val="0"/>
        <w:spacing w:line="360" w:lineRule="auto"/>
        <w:ind w:firstLine="2380"/>
        <w:rPr>
          <w:rFonts w:ascii="宋体" w:hAnsi="宋体"/>
          <w:b/>
          <w:bCs/>
          <w:sz w:val="44"/>
          <w:szCs w:val="44"/>
        </w:rPr>
      </w:pPr>
    </w:p>
    <w:p>
      <w:pPr>
        <w:snapToGrid w:val="0"/>
        <w:spacing w:line="360" w:lineRule="auto"/>
        <w:ind w:firstLine="2380"/>
        <w:rPr>
          <w:rFonts w:ascii="宋体" w:hAnsi="宋体"/>
          <w:b/>
          <w:bCs/>
          <w:sz w:val="44"/>
          <w:szCs w:val="44"/>
        </w:rPr>
      </w:pPr>
    </w:p>
    <w:p>
      <w:pPr>
        <w:snapToGrid w:val="0"/>
        <w:spacing w:line="360" w:lineRule="auto"/>
        <w:ind w:firstLine="2380"/>
        <w:rPr>
          <w:rFonts w:ascii="宋体" w:hAnsi="宋体"/>
          <w:b/>
          <w:bCs/>
          <w:sz w:val="44"/>
          <w:szCs w:val="44"/>
        </w:rPr>
      </w:pPr>
    </w:p>
    <w:p>
      <w:pPr>
        <w:pStyle w:val="2"/>
        <w:rPr>
          <w:rFonts w:ascii="宋体" w:hAnsi="宋体"/>
          <w:b w:val="0"/>
          <w:sz w:val="44"/>
        </w:rPr>
      </w:pPr>
      <w:bookmarkStart w:id="43" w:name="_Toc142914513"/>
      <w:r>
        <w:rPr>
          <w:rFonts w:hint="eastAsia" w:ascii="宋体" w:hAnsi="宋体"/>
          <w:b w:val="0"/>
          <w:bCs w:val="0"/>
          <w:sz w:val="44"/>
        </w:rPr>
        <w:t>第四章 磋商响应文件</w:t>
      </w:r>
      <w:r>
        <w:rPr>
          <w:rFonts w:hint="eastAsia" w:ascii="宋体" w:hAnsi="宋体"/>
          <w:b w:val="0"/>
          <w:sz w:val="44"/>
        </w:rPr>
        <w:t>格式</w:t>
      </w:r>
      <w:bookmarkEnd w:id="43"/>
    </w:p>
    <w:p>
      <w:pPr>
        <w:spacing w:line="360" w:lineRule="auto"/>
        <w:ind w:firstLine="442" w:firstLineChars="100"/>
        <w:jc w:val="center"/>
        <w:rPr>
          <w:rFonts w:ascii="宋体" w:hAnsi="宋体"/>
          <w:sz w:val="36"/>
          <w:szCs w:val="36"/>
        </w:rPr>
      </w:pPr>
      <w:r>
        <w:rPr>
          <w:rFonts w:ascii="宋体" w:hAnsi="宋体"/>
          <w:b/>
          <w:sz w:val="44"/>
        </w:rPr>
        <w:br w:type="page"/>
      </w:r>
      <w:r>
        <w:rPr>
          <w:rFonts w:hint="eastAsia" w:ascii="宋体" w:hAnsi="宋体"/>
          <w:sz w:val="36"/>
          <w:szCs w:val="36"/>
        </w:rPr>
        <w:t>一、磋商响应函格式</w:t>
      </w:r>
    </w:p>
    <w:p>
      <w:pPr>
        <w:spacing w:line="288" w:lineRule="auto"/>
        <w:rPr>
          <w:rFonts w:ascii="宋体" w:hAnsi="宋体"/>
          <w:sz w:val="24"/>
        </w:rPr>
      </w:pPr>
      <w:r>
        <w:rPr>
          <w:rFonts w:hint="eastAsia" w:ascii="宋体" w:hAnsi="宋体"/>
          <w:sz w:val="24"/>
        </w:rPr>
        <w:t>致：</w:t>
      </w:r>
      <w:r>
        <w:rPr>
          <w:rFonts w:hint="eastAsia" w:ascii="宋体" w:hAnsi="宋体"/>
          <w:sz w:val="24"/>
          <w:u w:val="single"/>
        </w:rPr>
        <w:t>（采购人、采购代理机构）</w:t>
      </w:r>
    </w:p>
    <w:p>
      <w:pPr>
        <w:spacing w:line="288" w:lineRule="auto"/>
        <w:ind w:firstLine="435"/>
        <w:rPr>
          <w:rFonts w:ascii="宋体" w:hAnsi="宋体"/>
          <w:sz w:val="24"/>
        </w:rPr>
      </w:pPr>
      <w:r>
        <w:rPr>
          <w:rFonts w:hint="eastAsia" w:ascii="宋体" w:hAnsi="宋体"/>
          <w:sz w:val="24"/>
        </w:rPr>
        <w:t>根据贵方</w:t>
      </w:r>
      <w:r>
        <w:rPr>
          <w:rFonts w:hint="eastAsia" w:ascii="宋体" w:hAnsi="宋体"/>
          <w:sz w:val="24"/>
          <w:u w:val="single"/>
        </w:rPr>
        <w:t>（采购项目名称、</w:t>
      </w:r>
      <w:r>
        <w:rPr>
          <w:rFonts w:ascii="宋体" w:hAnsi="宋体"/>
          <w:sz w:val="24"/>
          <w:u w:val="single"/>
        </w:rPr>
        <w:t>包号</w:t>
      </w:r>
      <w:r>
        <w:rPr>
          <w:rFonts w:hint="eastAsia" w:ascii="宋体" w:hAnsi="宋体"/>
          <w:sz w:val="24"/>
          <w:u w:val="single"/>
        </w:rPr>
        <w:t>）（项目编号）</w:t>
      </w:r>
      <w:r>
        <w:rPr>
          <w:rFonts w:hint="eastAsia" w:ascii="宋体" w:hAnsi="宋体"/>
          <w:sz w:val="24"/>
        </w:rPr>
        <w:t>，供应商代表</w:t>
      </w:r>
      <w:r>
        <w:rPr>
          <w:rFonts w:hint="eastAsia" w:ascii="宋体" w:hAnsi="宋体"/>
          <w:sz w:val="24"/>
          <w:u w:val="single"/>
        </w:rPr>
        <w:t>（姓名、职务）</w:t>
      </w:r>
      <w:r>
        <w:rPr>
          <w:rFonts w:hint="eastAsia" w:ascii="宋体" w:hAnsi="宋体"/>
          <w:sz w:val="24"/>
        </w:rPr>
        <w:t>经正式授权并代表供应商</w:t>
      </w:r>
      <w:r>
        <w:rPr>
          <w:rFonts w:hint="eastAsia" w:ascii="宋体" w:hAnsi="宋体"/>
          <w:sz w:val="24"/>
          <w:u w:val="single"/>
        </w:rPr>
        <w:t>（供应商名称、地址）</w:t>
      </w:r>
      <w:r>
        <w:rPr>
          <w:rFonts w:hint="eastAsia" w:ascii="宋体" w:hAnsi="宋体"/>
          <w:sz w:val="24"/>
        </w:rPr>
        <w:t>提交电子版投标响应文件文件</w:t>
      </w:r>
      <w:r>
        <w:rPr>
          <w:rFonts w:hint="eastAsia" w:ascii="宋体" w:hAnsi="宋体"/>
          <w:sz w:val="24"/>
          <w:u w:val="single"/>
        </w:rPr>
        <w:t xml:space="preserve">   四   </w:t>
      </w:r>
      <w:r>
        <w:rPr>
          <w:rFonts w:hint="eastAsia" w:ascii="宋体" w:hAnsi="宋体"/>
          <w:sz w:val="24"/>
        </w:rPr>
        <w:t>份。</w:t>
      </w:r>
    </w:p>
    <w:p>
      <w:pPr>
        <w:spacing w:line="288" w:lineRule="auto"/>
        <w:ind w:firstLine="480" w:firstLineChars="200"/>
        <w:rPr>
          <w:rFonts w:ascii="宋体" w:hAnsi="宋体"/>
          <w:sz w:val="24"/>
        </w:rPr>
      </w:pPr>
      <w:r>
        <w:rPr>
          <w:rFonts w:hint="eastAsia" w:ascii="宋体" w:hAnsi="宋体"/>
          <w:sz w:val="24"/>
        </w:rPr>
        <w:t>完</w:t>
      </w:r>
      <w:r>
        <w:rPr>
          <w:rFonts w:ascii="宋体" w:hAnsi="宋体"/>
          <w:sz w:val="24"/>
        </w:rPr>
        <w:t>全理解采购文件的内容，决定投</w:t>
      </w:r>
      <w:r>
        <w:rPr>
          <w:rFonts w:hint="eastAsia" w:ascii="宋体" w:hAnsi="宋体"/>
          <w:sz w:val="24"/>
        </w:rPr>
        <w:t>标</w:t>
      </w:r>
      <w:r>
        <w:rPr>
          <w:rFonts w:ascii="宋体" w:hAnsi="宋体"/>
          <w:sz w:val="24"/>
        </w:rPr>
        <w:t>本项目，据此</w:t>
      </w:r>
      <w:r>
        <w:rPr>
          <w:rFonts w:hint="eastAsia" w:ascii="宋体" w:hAnsi="宋体"/>
          <w:sz w:val="24"/>
        </w:rPr>
        <w:t>我</w:t>
      </w:r>
      <w:r>
        <w:rPr>
          <w:rFonts w:ascii="宋体" w:hAnsi="宋体"/>
          <w:sz w:val="24"/>
        </w:rPr>
        <w:t>方</w:t>
      </w:r>
      <w:r>
        <w:rPr>
          <w:rFonts w:hint="eastAsia" w:ascii="宋体" w:hAnsi="宋体"/>
          <w:sz w:val="24"/>
        </w:rPr>
        <w:t>承诺如</w:t>
      </w:r>
      <w:r>
        <w:rPr>
          <w:rFonts w:ascii="宋体" w:hAnsi="宋体"/>
          <w:sz w:val="24"/>
        </w:rPr>
        <w:t>下：</w:t>
      </w:r>
    </w:p>
    <w:p>
      <w:pPr>
        <w:numPr>
          <w:ilvl w:val="1"/>
          <w:numId w:val="1"/>
        </w:numPr>
        <w:spacing w:line="288" w:lineRule="auto"/>
        <w:rPr>
          <w:rFonts w:ascii="宋体" w:hAnsi="宋体"/>
          <w:sz w:val="24"/>
        </w:rPr>
      </w:pPr>
      <w:r>
        <w:rPr>
          <w:rFonts w:hint="eastAsia" w:ascii="宋体" w:hAnsi="宋体"/>
          <w:sz w:val="24"/>
        </w:rPr>
        <w:t>我方承诺</w:t>
      </w:r>
      <w:r>
        <w:rPr>
          <w:rFonts w:ascii="宋体" w:hAnsi="宋体"/>
          <w:sz w:val="24"/>
        </w:rPr>
        <w:t>，我方</w:t>
      </w:r>
      <w:r>
        <w:rPr>
          <w:rFonts w:hint="eastAsia" w:ascii="宋体" w:hAnsi="宋体"/>
          <w:sz w:val="24"/>
        </w:rPr>
        <w:t>完</w:t>
      </w:r>
      <w:r>
        <w:rPr>
          <w:rFonts w:ascii="宋体" w:hAnsi="宋体"/>
          <w:sz w:val="24"/>
        </w:rPr>
        <w:t>全具备《政府采购法》第</w:t>
      </w:r>
      <w:r>
        <w:rPr>
          <w:rFonts w:hint="eastAsia" w:ascii="宋体" w:hAnsi="宋体"/>
          <w:sz w:val="24"/>
        </w:rPr>
        <w:t>二</w:t>
      </w:r>
      <w:r>
        <w:rPr>
          <w:rFonts w:ascii="宋体" w:hAnsi="宋体"/>
          <w:sz w:val="24"/>
        </w:rPr>
        <w:t>十二条</w:t>
      </w:r>
      <w:r>
        <w:rPr>
          <w:rFonts w:hint="eastAsia" w:ascii="宋体" w:hAnsi="宋体"/>
          <w:sz w:val="24"/>
        </w:rPr>
        <w:t>第</w:t>
      </w:r>
      <w:r>
        <w:rPr>
          <w:rFonts w:ascii="宋体" w:hAnsi="宋体"/>
          <w:sz w:val="24"/>
        </w:rPr>
        <w:t>一款规定的条件以及本项目采购文件规定的供应商</w:t>
      </w:r>
      <w:r>
        <w:rPr>
          <w:rFonts w:hint="eastAsia" w:ascii="宋体" w:hAnsi="宋体"/>
          <w:sz w:val="24"/>
        </w:rPr>
        <w:t>须</w:t>
      </w:r>
      <w:r>
        <w:rPr>
          <w:rFonts w:ascii="宋体" w:hAnsi="宋体"/>
          <w:sz w:val="24"/>
        </w:rPr>
        <w:t>满足的特定条件。</w:t>
      </w:r>
    </w:p>
    <w:p>
      <w:pPr>
        <w:numPr>
          <w:ilvl w:val="1"/>
          <w:numId w:val="1"/>
        </w:numPr>
        <w:spacing w:line="288" w:lineRule="auto"/>
        <w:rPr>
          <w:rFonts w:ascii="宋体" w:hAnsi="宋体"/>
          <w:sz w:val="24"/>
        </w:rPr>
      </w:pPr>
      <w:r>
        <w:rPr>
          <w:rFonts w:hint="eastAsia" w:ascii="宋体" w:hAnsi="宋体"/>
          <w:sz w:val="24"/>
        </w:rPr>
        <w:t>所附投标价格表中规定的应提交和交付的投标报价为</w:t>
      </w:r>
      <w:r>
        <w:rPr>
          <w:rFonts w:hint="eastAsia" w:ascii="宋体" w:hAnsi="宋体"/>
          <w:sz w:val="24"/>
          <w:u w:val="single"/>
        </w:rPr>
        <w:t>人民币金额数，（同时用文字和数字表示。）</w:t>
      </w:r>
    </w:p>
    <w:p>
      <w:pPr>
        <w:numPr>
          <w:ilvl w:val="1"/>
          <w:numId w:val="1"/>
        </w:numPr>
        <w:spacing w:line="288" w:lineRule="auto"/>
        <w:rPr>
          <w:rFonts w:ascii="宋体" w:hAnsi="宋体"/>
          <w:sz w:val="24"/>
        </w:rPr>
      </w:pPr>
      <w:r>
        <w:rPr>
          <w:rFonts w:hint="eastAsia" w:ascii="宋体" w:hAnsi="宋体"/>
          <w:sz w:val="24"/>
        </w:rPr>
        <w:t>我</w:t>
      </w:r>
      <w:r>
        <w:rPr>
          <w:rFonts w:ascii="宋体" w:hAnsi="宋体"/>
          <w:sz w:val="24"/>
        </w:rPr>
        <w:t>方</w:t>
      </w:r>
      <w:r>
        <w:rPr>
          <w:rFonts w:hint="eastAsia" w:ascii="宋体" w:hAnsi="宋体"/>
          <w:sz w:val="24"/>
        </w:rPr>
        <w:t>已仔细</w:t>
      </w:r>
      <w:r>
        <w:rPr>
          <w:rFonts w:ascii="宋体" w:hAnsi="宋体"/>
          <w:sz w:val="24"/>
        </w:rPr>
        <w:t>研究</w:t>
      </w:r>
      <w:r>
        <w:rPr>
          <w:rFonts w:hint="eastAsia" w:ascii="宋体" w:hAnsi="宋体"/>
          <w:sz w:val="24"/>
        </w:rPr>
        <w:t>并完</w:t>
      </w:r>
      <w:r>
        <w:rPr>
          <w:rFonts w:ascii="宋体" w:hAnsi="宋体"/>
          <w:sz w:val="24"/>
        </w:rPr>
        <w:t>全理解了</w:t>
      </w:r>
      <w:r>
        <w:rPr>
          <w:rFonts w:hint="eastAsia" w:ascii="宋体" w:hAnsi="宋体"/>
          <w:sz w:val="24"/>
        </w:rPr>
        <w:t>全部采购文件（</w:t>
      </w:r>
      <w:r>
        <w:rPr>
          <w:rFonts w:ascii="宋体" w:hAnsi="宋体"/>
          <w:sz w:val="24"/>
        </w:rPr>
        <w:t>包括</w:t>
      </w:r>
      <w:r>
        <w:rPr>
          <w:rFonts w:hint="eastAsia" w:ascii="宋体" w:hAnsi="宋体"/>
          <w:sz w:val="24"/>
        </w:rPr>
        <w:t>修改</w:t>
      </w:r>
      <w:r>
        <w:rPr>
          <w:rFonts w:ascii="宋体" w:hAnsi="宋体"/>
          <w:sz w:val="24"/>
        </w:rPr>
        <w:t>文</w:t>
      </w:r>
      <w:r>
        <w:rPr>
          <w:rFonts w:hint="eastAsia" w:ascii="宋体" w:hAnsi="宋体"/>
          <w:sz w:val="24"/>
        </w:rPr>
        <w:t>件、</w:t>
      </w:r>
      <w:r>
        <w:rPr>
          <w:rFonts w:ascii="宋体" w:hAnsi="宋体"/>
          <w:sz w:val="24"/>
        </w:rPr>
        <w:t>附件等相关资料）</w:t>
      </w:r>
      <w:r>
        <w:rPr>
          <w:rFonts w:hint="eastAsia" w:ascii="宋体" w:hAnsi="宋体"/>
          <w:sz w:val="24"/>
        </w:rPr>
        <w:t>规定的</w:t>
      </w:r>
      <w:r>
        <w:rPr>
          <w:rFonts w:ascii="宋体" w:hAnsi="宋体"/>
          <w:sz w:val="24"/>
        </w:rPr>
        <w:t>内容</w:t>
      </w:r>
      <w:r>
        <w:rPr>
          <w:rFonts w:hint="eastAsia" w:ascii="宋体" w:hAnsi="宋体"/>
          <w:sz w:val="24"/>
        </w:rPr>
        <w:t>，并</w:t>
      </w:r>
      <w:r>
        <w:rPr>
          <w:rFonts w:ascii="宋体" w:hAnsi="宋体"/>
          <w:sz w:val="24"/>
        </w:rPr>
        <w:t>承诺在发生争议时，不会以对采购文件存在误解、不明为由，向</w:t>
      </w:r>
      <w:r>
        <w:rPr>
          <w:rFonts w:hint="eastAsia" w:ascii="宋体" w:hAnsi="宋体"/>
          <w:sz w:val="24"/>
        </w:rPr>
        <w:t>采购</w:t>
      </w:r>
      <w:r>
        <w:rPr>
          <w:rFonts w:ascii="宋体" w:hAnsi="宋体"/>
          <w:sz w:val="24"/>
        </w:rPr>
        <w:t>人及采购代理机构</w:t>
      </w:r>
      <w:r>
        <w:rPr>
          <w:rFonts w:hint="eastAsia" w:ascii="宋体" w:hAnsi="宋体"/>
          <w:sz w:val="24"/>
        </w:rPr>
        <w:t>行使</w:t>
      </w:r>
      <w:r>
        <w:rPr>
          <w:rFonts w:ascii="宋体" w:hAnsi="宋体"/>
          <w:sz w:val="24"/>
        </w:rPr>
        <w:t>任何法律上的抗辩权。</w:t>
      </w:r>
    </w:p>
    <w:p>
      <w:pPr>
        <w:numPr>
          <w:ilvl w:val="1"/>
          <w:numId w:val="1"/>
        </w:numPr>
        <w:spacing w:line="288" w:lineRule="auto"/>
        <w:rPr>
          <w:rFonts w:ascii="宋体" w:hAnsi="宋体"/>
          <w:sz w:val="24"/>
        </w:rPr>
      </w:pPr>
      <w:r>
        <w:rPr>
          <w:rFonts w:hint="eastAsia" w:ascii="宋体" w:hAnsi="宋体"/>
          <w:sz w:val="24"/>
        </w:rPr>
        <w:t>本投标有效期为自开标日起</w:t>
      </w:r>
      <w:r>
        <w:rPr>
          <w:rFonts w:hint="eastAsia" w:ascii="宋体" w:hAnsi="宋体"/>
          <w:sz w:val="24"/>
          <w:u w:val="single"/>
        </w:rPr>
        <w:t xml:space="preserve">  90  </w:t>
      </w:r>
      <w:r>
        <w:rPr>
          <w:rFonts w:hint="eastAsia" w:ascii="宋体" w:hAnsi="宋体"/>
          <w:sz w:val="24"/>
        </w:rPr>
        <w:t>个日历日。</w:t>
      </w:r>
    </w:p>
    <w:p>
      <w:pPr>
        <w:numPr>
          <w:ilvl w:val="1"/>
          <w:numId w:val="1"/>
        </w:numPr>
        <w:spacing w:line="288" w:lineRule="auto"/>
        <w:rPr>
          <w:rFonts w:ascii="宋体" w:hAnsi="宋体"/>
          <w:sz w:val="24"/>
        </w:rPr>
      </w:pPr>
      <w:r>
        <w:rPr>
          <w:rFonts w:ascii="宋体" w:hAnsi="宋体"/>
          <w:sz w:val="24"/>
        </w:rPr>
        <w:t>服务期限：</w:t>
      </w:r>
      <w:r>
        <w:rPr>
          <w:rFonts w:hint="eastAsia" w:ascii="宋体" w:hAnsi="宋体"/>
          <w:sz w:val="24"/>
        </w:rPr>
        <w:t>__________________。</w:t>
      </w:r>
    </w:p>
    <w:p>
      <w:pPr>
        <w:spacing w:line="288" w:lineRule="auto"/>
        <w:ind w:left="360" w:hanging="360" w:hangingChars="150"/>
        <w:rPr>
          <w:rFonts w:ascii="宋体" w:hAnsi="宋体"/>
          <w:sz w:val="24"/>
        </w:rPr>
      </w:pPr>
      <w:r>
        <w:rPr>
          <w:rFonts w:hint="eastAsia" w:ascii="宋体" w:hAnsi="宋体"/>
          <w:sz w:val="24"/>
        </w:rPr>
        <w:t>6. 我方承诺</w:t>
      </w:r>
      <w:r>
        <w:rPr>
          <w:rFonts w:ascii="宋体" w:hAnsi="宋体"/>
          <w:sz w:val="24"/>
        </w:rPr>
        <w:t>投标响应文件</w:t>
      </w:r>
      <w:r>
        <w:rPr>
          <w:rFonts w:hint="eastAsia" w:ascii="宋体" w:hAnsi="宋体"/>
          <w:sz w:val="24"/>
        </w:rPr>
        <w:t>及所</w:t>
      </w:r>
      <w:r>
        <w:rPr>
          <w:rFonts w:ascii="宋体" w:hAnsi="宋体"/>
          <w:sz w:val="24"/>
        </w:rPr>
        <w:t>有提供的一切数据或资料均</w:t>
      </w:r>
      <w:r>
        <w:rPr>
          <w:rFonts w:hint="eastAsia" w:ascii="宋体" w:hAnsi="宋体"/>
          <w:sz w:val="24"/>
        </w:rPr>
        <w:t>真实</w:t>
      </w:r>
      <w:r>
        <w:rPr>
          <w:rFonts w:ascii="宋体" w:hAnsi="宋体"/>
          <w:sz w:val="24"/>
        </w:rPr>
        <w:t>、</w:t>
      </w:r>
      <w:r>
        <w:rPr>
          <w:rFonts w:hint="eastAsia" w:ascii="宋体" w:hAnsi="宋体"/>
          <w:sz w:val="24"/>
        </w:rPr>
        <w:t>准确</w:t>
      </w:r>
      <w:r>
        <w:rPr>
          <w:rFonts w:ascii="宋体" w:hAnsi="宋体"/>
          <w:sz w:val="24"/>
        </w:rPr>
        <w:t>、合法、有效</w:t>
      </w:r>
      <w:r>
        <w:rPr>
          <w:rFonts w:hint="eastAsia" w:ascii="宋体" w:hAnsi="宋体"/>
          <w:sz w:val="24"/>
        </w:rPr>
        <w:t>。由于</w:t>
      </w:r>
      <w:r>
        <w:rPr>
          <w:rFonts w:ascii="宋体" w:hAnsi="宋体"/>
          <w:sz w:val="24"/>
        </w:rPr>
        <w:t>我方提供的资料不实而</w:t>
      </w:r>
      <w:r>
        <w:rPr>
          <w:rFonts w:hint="eastAsia" w:ascii="宋体" w:hAnsi="宋体"/>
          <w:sz w:val="24"/>
        </w:rPr>
        <w:t>导致</w:t>
      </w:r>
      <w:r>
        <w:rPr>
          <w:rFonts w:ascii="宋体" w:hAnsi="宋体"/>
          <w:sz w:val="24"/>
        </w:rPr>
        <w:t>中标结果无</w:t>
      </w:r>
      <w:r>
        <w:rPr>
          <w:rFonts w:hint="eastAsia" w:ascii="宋体" w:hAnsi="宋体"/>
          <w:sz w:val="24"/>
        </w:rPr>
        <w:t>效，</w:t>
      </w:r>
      <w:r>
        <w:rPr>
          <w:rFonts w:ascii="宋体" w:hAnsi="宋体"/>
          <w:sz w:val="24"/>
        </w:rPr>
        <w:t>给其他供应商及采购人造成的全部损失，我方同意无条件予以赔偿。</w:t>
      </w:r>
    </w:p>
    <w:p>
      <w:pPr>
        <w:spacing w:line="288" w:lineRule="auto"/>
        <w:ind w:left="240" w:hanging="240" w:hangingChars="100"/>
        <w:rPr>
          <w:rFonts w:ascii="宋体" w:hAnsi="宋体"/>
          <w:sz w:val="24"/>
        </w:rPr>
      </w:pPr>
      <w:r>
        <w:rPr>
          <w:rFonts w:hint="eastAsia" w:ascii="宋体" w:hAnsi="宋体"/>
          <w:sz w:val="24"/>
        </w:rPr>
        <w:t>7.我方响应</w:t>
      </w:r>
      <w:r>
        <w:rPr>
          <w:rFonts w:ascii="宋体" w:hAnsi="宋体"/>
          <w:sz w:val="24"/>
        </w:rPr>
        <w:t>文件</w:t>
      </w:r>
      <w:r>
        <w:rPr>
          <w:rFonts w:hint="eastAsia" w:ascii="宋体" w:hAnsi="宋体"/>
          <w:sz w:val="24"/>
        </w:rPr>
        <w:t>、你</w:t>
      </w:r>
      <w:r>
        <w:rPr>
          <w:rFonts w:ascii="宋体" w:hAnsi="宋体"/>
          <w:sz w:val="24"/>
        </w:rPr>
        <w:t>方的中标通知书、</w:t>
      </w:r>
      <w:r>
        <w:rPr>
          <w:rFonts w:hint="eastAsia" w:ascii="宋体" w:hAnsi="宋体"/>
          <w:sz w:val="24"/>
        </w:rPr>
        <w:t>采购文件</w:t>
      </w:r>
      <w:r>
        <w:rPr>
          <w:rFonts w:ascii="宋体" w:hAnsi="宋体"/>
          <w:sz w:val="24"/>
        </w:rPr>
        <w:t>将成为约束双方的合同文件组成部分，若采购文件存在要求，而响应文件没有拒绝亦没有涉及的情形下，我方接受采购文件的</w:t>
      </w:r>
      <w:r>
        <w:rPr>
          <w:rFonts w:hint="eastAsia" w:ascii="宋体" w:hAnsi="宋体"/>
          <w:sz w:val="24"/>
        </w:rPr>
        <w:t>有</w:t>
      </w:r>
      <w:r>
        <w:rPr>
          <w:rFonts w:ascii="宋体" w:hAnsi="宋体"/>
          <w:sz w:val="24"/>
        </w:rPr>
        <w:t>关约束，并同意将采购文件对供应商的要求作为供应商合同义务的组成部分。</w:t>
      </w:r>
    </w:p>
    <w:p>
      <w:pPr>
        <w:spacing w:line="288" w:lineRule="auto"/>
        <w:ind w:left="360" w:hanging="360" w:hangingChars="150"/>
        <w:rPr>
          <w:rFonts w:ascii="宋体" w:hAnsi="宋体"/>
          <w:sz w:val="24"/>
        </w:rPr>
      </w:pPr>
      <w:r>
        <w:rPr>
          <w:rFonts w:hint="eastAsia" w:ascii="宋体" w:hAnsi="宋体"/>
          <w:sz w:val="24"/>
        </w:rPr>
        <w:t>8. 我</w:t>
      </w:r>
      <w:r>
        <w:rPr>
          <w:rFonts w:ascii="宋体" w:hAnsi="宋体"/>
          <w:sz w:val="24"/>
        </w:rPr>
        <w:t>方将严格遵</w:t>
      </w:r>
      <w:r>
        <w:rPr>
          <w:rFonts w:hint="eastAsia" w:ascii="宋体" w:hAnsi="宋体"/>
          <w:sz w:val="24"/>
        </w:rPr>
        <w:t>守</w:t>
      </w:r>
      <w:r>
        <w:rPr>
          <w:rFonts w:ascii="宋体" w:hAnsi="宋体"/>
          <w:sz w:val="24"/>
        </w:rPr>
        <w:t>政府采购</w:t>
      </w:r>
      <w:r>
        <w:rPr>
          <w:rFonts w:hint="eastAsia" w:ascii="宋体" w:hAnsi="宋体"/>
          <w:sz w:val="24"/>
        </w:rPr>
        <w:t>法律</w:t>
      </w:r>
      <w:r>
        <w:rPr>
          <w:rFonts w:ascii="宋体" w:hAnsi="宋体"/>
          <w:sz w:val="24"/>
        </w:rPr>
        <w:t>、法规等法律规范性文件的规定，若存在违法违规</w:t>
      </w:r>
      <w:r>
        <w:rPr>
          <w:rFonts w:hint="eastAsia" w:ascii="宋体" w:hAnsi="宋体"/>
          <w:sz w:val="24"/>
        </w:rPr>
        <w:t>等</w:t>
      </w:r>
      <w:r>
        <w:rPr>
          <w:rFonts w:ascii="宋体" w:hAnsi="宋体"/>
          <w:sz w:val="24"/>
        </w:rPr>
        <w:t>行为，将承担相应的法律</w:t>
      </w:r>
      <w:r>
        <w:rPr>
          <w:rFonts w:hint="eastAsia" w:ascii="宋体" w:hAnsi="宋体"/>
          <w:sz w:val="24"/>
        </w:rPr>
        <w:t>责任</w:t>
      </w:r>
      <w:r>
        <w:rPr>
          <w:rFonts w:ascii="宋体" w:hAnsi="宋体"/>
          <w:sz w:val="24"/>
        </w:rPr>
        <w:t>。</w:t>
      </w:r>
    </w:p>
    <w:p>
      <w:pPr>
        <w:jc w:val="center"/>
        <w:rPr>
          <w:rFonts w:ascii="宋体" w:hAnsi="宋体"/>
          <w:b/>
          <w:bCs/>
          <w:sz w:val="24"/>
        </w:rPr>
      </w:pPr>
    </w:p>
    <w:p>
      <w:pPr>
        <w:spacing w:line="360" w:lineRule="auto"/>
        <w:rPr>
          <w:rFonts w:ascii="宋体" w:hAnsi="宋体"/>
          <w:sz w:val="24"/>
        </w:rPr>
      </w:pPr>
      <w:r>
        <w:rPr>
          <w:rFonts w:hint="eastAsia" w:ascii="宋体" w:hAnsi="宋体"/>
          <w:sz w:val="24"/>
        </w:rPr>
        <w:t>供应商代表签字或盖印</w:t>
      </w:r>
    </w:p>
    <w:p>
      <w:pPr>
        <w:spacing w:line="360" w:lineRule="auto"/>
        <w:rPr>
          <w:rFonts w:ascii="宋体" w:hAnsi="宋体"/>
          <w:sz w:val="24"/>
        </w:rPr>
      </w:pPr>
      <w:r>
        <w:rPr>
          <w:rFonts w:hint="eastAsia" w:ascii="宋体" w:hAnsi="宋体"/>
          <w:sz w:val="24"/>
        </w:rPr>
        <w:t>供应商名称</w:t>
      </w:r>
    </w:p>
    <w:p>
      <w:pPr>
        <w:spacing w:line="360" w:lineRule="auto"/>
        <w:rPr>
          <w:rFonts w:ascii="宋体" w:hAnsi="宋体"/>
          <w:sz w:val="24"/>
        </w:rPr>
      </w:pPr>
      <w:r>
        <w:rPr>
          <w:rFonts w:hint="eastAsia" w:ascii="宋体" w:hAnsi="宋体"/>
          <w:sz w:val="24"/>
        </w:rPr>
        <w:t>供应商公章</w:t>
      </w:r>
    </w:p>
    <w:p>
      <w:pPr>
        <w:spacing w:line="360" w:lineRule="auto"/>
        <w:rPr>
          <w:rFonts w:ascii="宋体" w:hAnsi="宋体"/>
          <w:sz w:val="24"/>
          <w:u w:val="single"/>
        </w:rPr>
      </w:pPr>
      <w:r>
        <w:rPr>
          <w:rFonts w:hint="eastAsia" w:ascii="宋体" w:hAnsi="宋体"/>
          <w:sz w:val="24"/>
        </w:rPr>
        <w:t>日期</w:t>
      </w:r>
    </w:p>
    <w:p>
      <w:pPr>
        <w:spacing w:line="288" w:lineRule="auto"/>
        <w:ind w:left="900"/>
        <w:rPr>
          <w:rFonts w:ascii="宋体" w:hAnsi="宋体"/>
          <w:sz w:val="24"/>
        </w:rPr>
      </w:pPr>
    </w:p>
    <w:p>
      <w:pPr>
        <w:spacing w:line="380" w:lineRule="exact"/>
        <w:ind w:firstLine="482" w:firstLineChars="200"/>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1、</w:t>
      </w:r>
      <w:r>
        <w:rPr>
          <w:rFonts w:ascii="宋体" w:hAnsi="宋体"/>
          <w:b/>
          <w:sz w:val="24"/>
        </w:rPr>
        <w:t>本格式文件内容不得擅自删改。</w:t>
      </w:r>
    </w:p>
    <w:p>
      <w:pPr>
        <w:spacing w:line="380" w:lineRule="exact"/>
        <w:ind w:firstLine="482" w:firstLineChars="200"/>
        <w:rPr>
          <w:rFonts w:ascii="宋体" w:hAnsi="宋体"/>
          <w:b/>
          <w:sz w:val="24"/>
        </w:rPr>
      </w:pPr>
      <w:r>
        <w:rPr>
          <w:rFonts w:hint="eastAsia" w:ascii="宋体" w:hAnsi="宋体"/>
          <w:b/>
          <w:sz w:val="24"/>
        </w:rPr>
        <w:t>2、</w:t>
      </w:r>
      <w:r>
        <w:rPr>
          <w:rFonts w:ascii="宋体" w:hAnsi="宋体"/>
          <w:b/>
          <w:sz w:val="24"/>
        </w:rPr>
        <w:t>被授权人</w:t>
      </w:r>
      <w:r>
        <w:rPr>
          <w:rFonts w:hint="eastAsia" w:ascii="宋体" w:hAnsi="宋体"/>
          <w:b/>
          <w:sz w:val="24"/>
        </w:rPr>
        <w:t>签字</w:t>
      </w:r>
      <w:r>
        <w:rPr>
          <w:rFonts w:ascii="宋体" w:hAnsi="宋体"/>
          <w:b/>
          <w:sz w:val="24"/>
        </w:rPr>
        <w:t>，</w:t>
      </w:r>
      <w:r>
        <w:rPr>
          <w:rFonts w:hint="eastAsia" w:ascii="宋体" w:hAnsi="宋体"/>
          <w:b/>
          <w:sz w:val="24"/>
        </w:rPr>
        <w:t>必须是亲笔签名</w:t>
      </w:r>
      <w:r>
        <w:rPr>
          <w:rFonts w:ascii="宋体" w:hAnsi="宋体"/>
          <w:b/>
          <w:sz w:val="24"/>
        </w:rPr>
        <w:t>。</w:t>
      </w:r>
    </w:p>
    <w:p>
      <w:pPr>
        <w:spacing w:line="380" w:lineRule="exact"/>
        <w:ind w:firstLine="482" w:firstLineChars="200"/>
        <w:rPr>
          <w:rFonts w:ascii="宋体" w:hAnsi="宋体"/>
          <w:b/>
          <w:sz w:val="24"/>
        </w:rPr>
      </w:pPr>
      <w:r>
        <w:rPr>
          <w:rFonts w:hint="eastAsia" w:ascii="宋体" w:hAnsi="宋体"/>
          <w:b/>
          <w:sz w:val="24"/>
        </w:rPr>
        <w:t>3、</w:t>
      </w:r>
      <w:r>
        <w:rPr>
          <w:rFonts w:ascii="宋体" w:hAnsi="宋体"/>
          <w:b/>
          <w:sz w:val="24"/>
        </w:rPr>
        <w:t>供应商公章必须是经公安部门备案的印章</w:t>
      </w:r>
      <w:r>
        <w:rPr>
          <w:rFonts w:hint="eastAsia" w:ascii="宋体" w:hAnsi="宋体"/>
          <w:b/>
          <w:sz w:val="24"/>
        </w:rPr>
        <w:t>。</w:t>
      </w:r>
    </w:p>
    <w:p>
      <w:pPr>
        <w:spacing w:line="380" w:lineRule="exact"/>
        <w:ind w:firstLine="482" w:firstLineChars="200"/>
        <w:rPr>
          <w:rFonts w:ascii="宋体" w:hAnsi="宋体"/>
          <w:b/>
          <w:sz w:val="24"/>
        </w:rPr>
      </w:pPr>
      <w:r>
        <w:rPr>
          <w:rFonts w:hint="eastAsia" w:ascii="宋体" w:hAnsi="宋体"/>
          <w:b/>
          <w:sz w:val="24"/>
        </w:rPr>
        <w:t>4、</w:t>
      </w:r>
      <w:r>
        <w:rPr>
          <w:rFonts w:ascii="宋体" w:hAnsi="宋体"/>
          <w:b/>
          <w:sz w:val="24"/>
        </w:rPr>
        <w:t>不得使用其他印章或电子制版签名。</w:t>
      </w:r>
    </w:p>
    <w:p>
      <w:pPr>
        <w:spacing w:line="380" w:lineRule="exact"/>
        <w:ind w:firstLine="482" w:firstLineChars="200"/>
        <w:rPr>
          <w:rFonts w:ascii="宋体" w:hAnsi="宋体"/>
          <w:b/>
          <w:sz w:val="24"/>
        </w:rPr>
        <w:sectPr>
          <w:headerReference r:id="rId3" w:type="default"/>
          <w:footerReference r:id="rId4" w:type="default"/>
          <w:footerReference r:id="rId5" w:type="even"/>
          <w:pgSz w:w="11906" w:h="16838"/>
          <w:pgMar w:top="1134" w:right="1134" w:bottom="1134" w:left="1701" w:header="851" w:footer="828" w:gutter="0"/>
          <w:pgNumType w:fmt="numberInDash" w:start="0"/>
          <w:cols w:space="720" w:num="1"/>
          <w:titlePg/>
          <w:docGrid w:type="lines" w:linePitch="312" w:charSpace="0"/>
        </w:sectPr>
      </w:pPr>
      <w:r>
        <w:rPr>
          <w:rFonts w:hint="eastAsia" w:ascii="宋体" w:hAnsi="宋体"/>
          <w:b/>
          <w:sz w:val="24"/>
        </w:rPr>
        <w:t>5、应按规定签字或盖章，否则磋商响应文件无效。</w:t>
      </w:r>
    </w:p>
    <w:p>
      <w:pPr>
        <w:jc w:val="center"/>
        <w:outlineLvl w:val="1"/>
        <w:rPr>
          <w:rFonts w:asciiTheme="minorEastAsia" w:hAnsiTheme="minorEastAsia" w:eastAsiaTheme="minorEastAsia" w:cstheme="minorEastAsia"/>
          <w:b/>
          <w:bCs/>
          <w:sz w:val="30"/>
          <w:szCs w:val="30"/>
        </w:rPr>
      </w:pPr>
    </w:p>
    <w:p>
      <w:pPr>
        <w:jc w:val="center"/>
        <w:outlineLvl w:val="1"/>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二、投标报价表</w:t>
      </w:r>
    </w:p>
    <w:p>
      <w:pPr>
        <w:rPr>
          <w:rFonts w:asciiTheme="minorEastAsia" w:hAnsiTheme="minorEastAsia" w:eastAsiaTheme="minorEastAsia" w:cstheme="minorEastAsia"/>
          <w:b/>
          <w:sz w:val="24"/>
        </w:rPr>
      </w:pPr>
    </w:p>
    <w:tbl>
      <w:tblPr>
        <w:tblStyle w:val="2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661"/>
        <w:gridCol w:w="4440"/>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48" w:type="dxa"/>
            <w:vAlign w:val="center"/>
          </w:tcPr>
          <w:p>
            <w:pPr>
              <w:jc w:val="center"/>
              <w:rPr>
                <w:rFonts w:ascii="宋体" w:hAnsi="宋体" w:cs="宋体"/>
                <w:b/>
                <w:bCs/>
                <w:szCs w:val="21"/>
              </w:rPr>
            </w:pPr>
            <w:r>
              <w:rPr>
                <w:rFonts w:hint="eastAsia" w:ascii="宋体" w:hAnsi="宋体" w:cs="宋体"/>
                <w:b/>
                <w:bCs/>
                <w:szCs w:val="21"/>
              </w:rPr>
              <w:t>序号</w:t>
            </w:r>
          </w:p>
        </w:tc>
        <w:tc>
          <w:tcPr>
            <w:tcW w:w="2661" w:type="dxa"/>
            <w:vAlign w:val="center"/>
          </w:tcPr>
          <w:p>
            <w:pPr>
              <w:jc w:val="center"/>
              <w:rPr>
                <w:rFonts w:ascii="宋体" w:hAnsi="宋体" w:cs="宋体"/>
                <w:b/>
                <w:bCs/>
                <w:szCs w:val="21"/>
              </w:rPr>
            </w:pPr>
            <w:r>
              <w:rPr>
                <w:rFonts w:hint="eastAsia" w:ascii="宋体" w:hAnsi="宋体" w:cs="宋体"/>
                <w:b/>
                <w:bCs/>
                <w:szCs w:val="21"/>
              </w:rPr>
              <w:t>服务项目</w:t>
            </w:r>
          </w:p>
        </w:tc>
        <w:tc>
          <w:tcPr>
            <w:tcW w:w="4440" w:type="dxa"/>
            <w:vAlign w:val="center"/>
          </w:tcPr>
          <w:p>
            <w:pPr>
              <w:jc w:val="center"/>
              <w:rPr>
                <w:rFonts w:ascii="宋体" w:hAnsi="宋体" w:cs="宋体"/>
                <w:b/>
                <w:bCs/>
                <w:szCs w:val="21"/>
              </w:rPr>
            </w:pPr>
            <w:r>
              <w:rPr>
                <w:rFonts w:hint="eastAsia" w:ascii="宋体" w:hAnsi="宋体" w:cs="宋体"/>
                <w:b/>
                <w:bCs/>
                <w:szCs w:val="21"/>
              </w:rPr>
              <w:t>基本内容、数量</w:t>
            </w:r>
          </w:p>
        </w:tc>
        <w:tc>
          <w:tcPr>
            <w:tcW w:w="1538" w:type="dxa"/>
            <w:vAlign w:val="center"/>
          </w:tcPr>
          <w:p>
            <w:pPr>
              <w:jc w:val="center"/>
              <w:rPr>
                <w:rFonts w:ascii="宋体" w:hAnsi="宋体" w:cs="宋体"/>
                <w:b/>
                <w:bCs/>
                <w:szCs w:val="21"/>
              </w:rPr>
            </w:pPr>
            <w:r>
              <w:rPr>
                <w:rFonts w:hint="eastAsia" w:ascii="宋体" w:hAnsi="宋体" w:cs="宋体"/>
                <w:b/>
                <w:bCs/>
                <w:szCs w:val="21"/>
              </w:rPr>
              <w:t>费用（万元）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jc w:val="center"/>
              <w:rPr>
                <w:rFonts w:ascii="宋体" w:hAnsi="宋体" w:cs="宋体"/>
                <w:szCs w:val="21"/>
              </w:rPr>
            </w:pPr>
            <w:r>
              <w:rPr>
                <w:rFonts w:hint="eastAsia" w:ascii="宋体" w:hAnsi="宋体" w:cs="宋体"/>
                <w:szCs w:val="21"/>
              </w:rPr>
              <w:t>1</w:t>
            </w:r>
          </w:p>
        </w:tc>
        <w:tc>
          <w:tcPr>
            <w:tcW w:w="2661" w:type="dxa"/>
            <w:vAlign w:val="center"/>
          </w:tcPr>
          <w:p>
            <w:pPr>
              <w:jc w:val="center"/>
              <w:rPr>
                <w:rFonts w:ascii="宋体" w:hAnsi="宋体" w:cs="宋体"/>
                <w:szCs w:val="21"/>
              </w:rPr>
            </w:pPr>
          </w:p>
        </w:tc>
        <w:tc>
          <w:tcPr>
            <w:tcW w:w="4440" w:type="dxa"/>
            <w:vAlign w:val="center"/>
          </w:tcPr>
          <w:p>
            <w:pPr>
              <w:jc w:val="left"/>
              <w:rPr>
                <w:rFonts w:ascii="宋体" w:hAnsi="宋体" w:cs="宋体"/>
                <w:szCs w:val="21"/>
              </w:rPr>
            </w:pPr>
          </w:p>
        </w:tc>
        <w:tc>
          <w:tcPr>
            <w:tcW w:w="153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jc w:val="center"/>
              <w:rPr>
                <w:rFonts w:ascii="宋体" w:hAnsi="宋体" w:cs="宋体"/>
                <w:szCs w:val="21"/>
              </w:rPr>
            </w:pPr>
            <w:r>
              <w:rPr>
                <w:rFonts w:hint="eastAsia" w:ascii="宋体" w:hAnsi="宋体" w:cs="宋体"/>
                <w:szCs w:val="21"/>
              </w:rPr>
              <w:t>2</w:t>
            </w:r>
          </w:p>
        </w:tc>
        <w:tc>
          <w:tcPr>
            <w:tcW w:w="2661" w:type="dxa"/>
            <w:vAlign w:val="center"/>
          </w:tcPr>
          <w:p>
            <w:pPr>
              <w:jc w:val="center"/>
              <w:rPr>
                <w:rFonts w:ascii="宋体" w:hAnsi="宋体" w:cs="宋体"/>
                <w:szCs w:val="21"/>
              </w:rPr>
            </w:pPr>
          </w:p>
        </w:tc>
        <w:tc>
          <w:tcPr>
            <w:tcW w:w="4440" w:type="dxa"/>
            <w:vAlign w:val="center"/>
          </w:tcPr>
          <w:p>
            <w:pPr>
              <w:jc w:val="center"/>
              <w:rPr>
                <w:rFonts w:ascii="宋体" w:hAnsi="宋体" w:cs="宋体"/>
                <w:szCs w:val="21"/>
              </w:rPr>
            </w:pPr>
          </w:p>
        </w:tc>
        <w:tc>
          <w:tcPr>
            <w:tcW w:w="153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jc w:val="center"/>
              <w:rPr>
                <w:rFonts w:ascii="宋体" w:hAnsi="宋体" w:cs="宋体"/>
                <w:szCs w:val="21"/>
              </w:rPr>
            </w:pPr>
            <w:r>
              <w:rPr>
                <w:rFonts w:hint="eastAsia" w:ascii="宋体" w:hAnsi="宋体" w:cs="宋体"/>
                <w:szCs w:val="21"/>
              </w:rPr>
              <w:t>3</w:t>
            </w:r>
          </w:p>
        </w:tc>
        <w:tc>
          <w:tcPr>
            <w:tcW w:w="2661" w:type="dxa"/>
            <w:vAlign w:val="center"/>
          </w:tcPr>
          <w:p>
            <w:pPr>
              <w:jc w:val="center"/>
              <w:rPr>
                <w:rFonts w:ascii="宋体" w:hAnsi="宋体" w:cs="宋体"/>
                <w:szCs w:val="21"/>
              </w:rPr>
            </w:pPr>
          </w:p>
        </w:tc>
        <w:tc>
          <w:tcPr>
            <w:tcW w:w="4440" w:type="dxa"/>
            <w:vAlign w:val="center"/>
          </w:tcPr>
          <w:p>
            <w:pPr>
              <w:jc w:val="center"/>
              <w:rPr>
                <w:rFonts w:ascii="宋体" w:hAnsi="宋体" w:cs="宋体"/>
                <w:szCs w:val="21"/>
              </w:rPr>
            </w:pPr>
          </w:p>
        </w:tc>
        <w:tc>
          <w:tcPr>
            <w:tcW w:w="153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jc w:val="center"/>
              <w:rPr>
                <w:rFonts w:ascii="宋体" w:hAnsi="宋体" w:cs="宋体"/>
                <w:szCs w:val="21"/>
              </w:rPr>
            </w:pPr>
            <w:r>
              <w:rPr>
                <w:rFonts w:hint="eastAsia" w:ascii="宋体" w:hAnsi="宋体" w:cs="宋体"/>
                <w:szCs w:val="21"/>
              </w:rPr>
              <w:t>4</w:t>
            </w:r>
          </w:p>
        </w:tc>
        <w:tc>
          <w:tcPr>
            <w:tcW w:w="2661" w:type="dxa"/>
            <w:vAlign w:val="center"/>
          </w:tcPr>
          <w:p>
            <w:pPr>
              <w:jc w:val="center"/>
              <w:rPr>
                <w:rFonts w:ascii="宋体" w:hAnsi="宋体" w:cs="宋体"/>
                <w:szCs w:val="21"/>
              </w:rPr>
            </w:pPr>
          </w:p>
        </w:tc>
        <w:tc>
          <w:tcPr>
            <w:tcW w:w="4440" w:type="dxa"/>
            <w:vAlign w:val="center"/>
          </w:tcPr>
          <w:p>
            <w:pPr>
              <w:jc w:val="center"/>
              <w:rPr>
                <w:rFonts w:ascii="宋体" w:hAnsi="宋体" w:cs="宋体"/>
                <w:szCs w:val="21"/>
              </w:rPr>
            </w:pPr>
          </w:p>
        </w:tc>
        <w:tc>
          <w:tcPr>
            <w:tcW w:w="153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jc w:val="center"/>
              <w:rPr>
                <w:rFonts w:ascii="宋体" w:hAnsi="宋体" w:cs="宋体"/>
                <w:szCs w:val="21"/>
              </w:rPr>
            </w:pPr>
            <w:r>
              <w:rPr>
                <w:rFonts w:hint="eastAsia" w:ascii="宋体" w:hAnsi="宋体" w:cs="宋体"/>
                <w:szCs w:val="21"/>
              </w:rPr>
              <w:t>5</w:t>
            </w:r>
          </w:p>
        </w:tc>
        <w:tc>
          <w:tcPr>
            <w:tcW w:w="2661" w:type="dxa"/>
            <w:vAlign w:val="center"/>
          </w:tcPr>
          <w:p>
            <w:pPr>
              <w:jc w:val="center"/>
              <w:rPr>
                <w:rFonts w:ascii="宋体" w:hAnsi="宋体" w:cs="宋体"/>
                <w:szCs w:val="21"/>
              </w:rPr>
            </w:pPr>
            <w:r>
              <w:rPr>
                <w:rFonts w:hint="eastAsia" w:ascii="宋体" w:hAnsi="宋体" w:cs="宋体"/>
                <w:szCs w:val="21"/>
              </w:rPr>
              <w:t>其他</w:t>
            </w:r>
          </w:p>
        </w:tc>
        <w:tc>
          <w:tcPr>
            <w:tcW w:w="4440" w:type="dxa"/>
            <w:vAlign w:val="center"/>
          </w:tcPr>
          <w:p>
            <w:pPr>
              <w:jc w:val="center"/>
              <w:rPr>
                <w:rFonts w:ascii="宋体" w:hAnsi="宋体" w:cs="宋体"/>
                <w:szCs w:val="21"/>
              </w:rPr>
            </w:pPr>
          </w:p>
        </w:tc>
        <w:tc>
          <w:tcPr>
            <w:tcW w:w="153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jc w:val="center"/>
              <w:rPr>
                <w:rFonts w:ascii="宋体" w:hAnsi="宋体" w:cs="宋体"/>
                <w:szCs w:val="21"/>
              </w:rPr>
            </w:pPr>
            <w:r>
              <w:rPr>
                <w:rFonts w:hint="eastAsia" w:ascii="宋体" w:hAnsi="宋体" w:cs="宋体"/>
                <w:szCs w:val="21"/>
              </w:rPr>
              <w:t>6</w:t>
            </w:r>
          </w:p>
        </w:tc>
        <w:tc>
          <w:tcPr>
            <w:tcW w:w="2661" w:type="dxa"/>
            <w:vAlign w:val="center"/>
          </w:tcPr>
          <w:p>
            <w:pPr>
              <w:jc w:val="center"/>
              <w:rPr>
                <w:rFonts w:ascii="宋体" w:hAnsi="宋体" w:cs="宋体"/>
                <w:szCs w:val="21"/>
              </w:rPr>
            </w:pPr>
            <w:r>
              <w:rPr>
                <w:rFonts w:hint="eastAsia" w:ascii="宋体" w:hAnsi="宋体" w:cs="宋体"/>
                <w:szCs w:val="21"/>
              </w:rPr>
              <w:t>…</w:t>
            </w:r>
          </w:p>
        </w:tc>
        <w:tc>
          <w:tcPr>
            <w:tcW w:w="4440" w:type="dxa"/>
            <w:vAlign w:val="center"/>
          </w:tcPr>
          <w:p>
            <w:pPr>
              <w:jc w:val="center"/>
              <w:rPr>
                <w:rFonts w:ascii="宋体" w:hAnsi="宋体" w:cs="宋体"/>
                <w:szCs w:val="21"/>
              </w:rPr>
            </w:pPr>
          </w:p>
        </w:tc>
        <w:tc>
          <w:tcPr>
            <w:tcW w:w="153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309" w:type="dxa"/>
            <w:gridSpan w:val="2"/>
            <w:vMerge w:val="restart"/>
            <w:vAlign w:val="center"/>
          </w:tcPr>
          <w:p>
            <w:pPr>
              <w:jc w:val="center"/>
              <w:rPr>
                <w:rFonts w:ascii="宋体" w:hAnsi="宋体" w:cs="宋体"/>
                <w:b/>
                <w:bCs/>
                <w:szCs w:val="21"/>
              </w:rPr>
            </w:pPr>
            <w:r>
              <w:rPr>
                <w:rFonts w:hint="eastAsia" w:ascii="宋体" w:hAnsi="宋体" w:cs="宋体"/>
                <w:b/>
                <w:bCs/>
                <w:szCs w:val="21"/>
              </w:rPr>
              <w:t>合计</w:t>
            </w:r>
          </w:p>
        </w:tc>
        <w:tc>
          <w:tcPr>
            <w:tcW w:w="4440" w:type="dxa"/>
            <w:vAlign w:val="center"/>
          </w:tcPr>
          <w:p>
            <w:pPr>
              <w:jc w:val="center"/>
              <w:rPr>
                <w:rFonts w:ascii="宋体" w:hAnsi="宋体" w:cs="宋体"/>
                <w:b/>
                <w:bCs/>
                <w:szCs w:val="21"/>
              </w:rPr>
            </w:pPr>
            <w:r>
              <w:rPr>
                <w:rFonts w:hint="eastAsia" w:ascii="宋体" w:hAnsi="宋体" w:cs="宋体"/>
                <w:b/>
                <w:bCs/>
                <w:szCs w:val="21"/>
              </w:rPr>
              <w:t>小写</w:t>
            </w:r>
          </w:p>
        </w:tc>
        <w:tc>
          <w:tcPr>
            <w:tcW w:w="153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3309" w:type="dxa"/>
            <w:gridSpan w:val="2"/>
            <w:vMerge w:val="continue"/>
            <w:vAlign w:val="center"/>
          </w:tcPr>
          <w:p>
            <w:pPr>
              <w:jc w:val="center"/>
              <w:rPr>
                <w:rFonts w:ascii="宋体" w:hAnsi="宋体" w:cs="宋体"/>
                <w:b/>
                <w:bCs/>
                <w:szCs w:val="21"/>
              </w:rPr>
            </w:pPr>
          </w:p>
        </w:tc>
        <w:tc>
          <w:tcPr>
            <w:tcW w:w="4440" w:type="dxa"/>
            <w:vAlign w:val="center"/>
          </w:tcPr>
          <w:p>
            <w:pPr>
              <w:jc w:val="center"/>
              <w:rPr>
                <w:rFonts w:ascii="宋体" w:hAnsi="宋体" w:cs="宋体"/>
                <w:b/>
                <w:bCs/>
                <w:szCs w:val="21"/>
              </w:rPr>
            </w:pPr>
            <w:r>
              <w:rPr>
                <w:rFonts w:hint="eastAsia" w:ascii="宋体" w:hAnsi="宋体" w:cs="宋体"/>
                <w:b/>
                <w:bCs/>
                <w:szCs w:val="21"/>
              </w:rPr>
              <w:t>大写</w:t>
            </w:r>
          </w:p>
        </w:tc>
        <w:tc>
          <w:tcPr>
            <w:tcW w:w="1538" w:type="dxa"/>
            <w:vAlign w:val="center"/>
          </w:tcPr>
          <w:p>
            <w:pPr>
              <w:jc w:val="center"/>
              <w:rPr>
                <w:rFonts w:ascii="宋体" w:hAnsi="宋体" w:cs="宋体"/>
                <w:szCs w:val="21"/>
              </w:rPr>
            </w:pPr>
          </w:p>
        </w:tc>
      </w:tr>
    </w:tbl>
    <w:p>
      <w:pPr>
        <w:rPr>
          <w:rFonts w:asciiTheme="minorEastAsia" w:hAnsiTheme="minorEastAsia" w:eastAsiaTheme="minorEastAsia" w:cstheme="minorEastAsia"/>
          <w:b/>
          <w:sz w:val="24"/>
        </w:rPr>
      </w:pPr>
    </w:p>
    <w:p>
      <w:pPr>
        <w:wordWrap w:val="0"/>
        <w:overflowPunct w:val="0"/>
        <w:topLinePunct/>
      </w:pPr>
    </w:p>
    <w:p>
      <w:pPr>
        <w:spacing w:line="360" w:lineRule="auto"/>
        <w:jc w:val="left"/>
        <w:rPr>
          <w:rFonts w:ascii="宋体" w:hAnsi="宋体" w:cs="宋体"/>
          <w:sz w:val="24"/>
          <w:u w:val="single"/>
        </w:rPr>
      </w:pPr>
      <w:r>
        <w:rPr>
          <w:rFonts w:hint="eastAsia" w:ascii="宋体" w:hAnsi="宋体" w:cs="宋体"/>
          <w:sz w:val="24"/>
        </w:rPr>
        <w:t>投标人名称（公章）：</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 </w:t>
      </w:r>
    </w:p>
    <w:p>
      <w:pPr>
        <w:widowControl/>
        <w:spacing w:line="360" w:lineRule="auto"/>
        <w:jc w:val="left"/>
        <w:rPr>
          <w:rFonts w:ascii="宋体" w:hAnsi="宋体" w:cs="宋体"/>
          <w:sz w:val="24"/>
          <w:u w:val="single"/>
        </w:rPr>
      </w:pPr>
      <w:r>
        <w:rPr>
          <w:rFonts w:hint="eastAsia" w:ascii="宋体" w:hAnsi="宋体" w:cs="宋体"/>
          <w:sz w:val="24"/>
        </w:rPr>
        <w:t>法定代表人或被授权人签字或盖章：</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rPr>
          <w:rFonts w:ascii="宋体" w:hAnsi="宋体" w:cs="宋体"/>
          <w:sz w:val="24"/>
        </w:rPr>
      </w:pPr>
    </w:p>
    <w:p>
      <w:pPr>
        <w:spacing w:line="380" w:lineRule="exact"/>
        <w:ind w:firstLine="482" w:firstLineChars="200"/>
        <w:rPr>
          <w:rFonts w:ascii="宋体" w:hAnsi="宋体"/>
          <w:b/>
          <w:sz w:val="24"/>
        </w:rPr>
      </w:pPr>
    </w:p>
    <w:p>
      <w:pPr>
        <w:spacing w:line="380" w:lineRule="exact"/>
        <w:ind w:firstLine="482" w:firstLineChars="200"/>
        <w:rPr>
          <w:rFonts w:ascii="宋体" w:hAnsi="宋体"/>
          <w:b/>
          <w:sz w:val="24"/>
        </w:rPr>
      </w:pPr>
      <w:r>
        <w:rPr>
          <w:rFonts w:hint="eastAsia" w:ascii="宋体" w:hAnsi="宋体"/>
          <w:b/>
          <w:sz w:val="24"/>
        </w:rPr>
        <w:t>注：1、</w:t>
      </w:r>
      <w:r>
        <w:rPr>
          <w:rFonts w:ascii="宋体" w:hAnsi="宋体"/>
          <w:b/>
          <w:sz w:val="24"/>
        </w:rPr>
        <w:t>被授权人</w:t>
      </w:r>
      <w:r>
        <w:rPr>
          <w:rFonts w:hint="eastAsia" w:ascii="宋体" w:hAnsi="宋体"/>
          <w:b/>
          <w:sz w:val="24"/>
        </w:rPr>
        <w:t>签字</w:t>
      </w:r>
      <w:r>
        <w:rPr>
          <w:rFonts w:ascii="宋体" w:hAnsi="宋体"/>
          <w:b/>
          <w:sz w:val="24"/>
        </w:rPr>
        <w:t>，</w:t>
      </w:r>
      <w:r>
        <w:rPr>
          <w:rFonts w:hint="eastAsia" w:ascii="宋体" w:hAnsi="宋体"/>
          <w:b/>
          <w:sz w:val="24"/>
        </w:rPr>
        <w:t>必须是亲笔签名</w:t>
      </w:r>
    </w:p>
    <w:p>
      <w:pPr>
        <w:spacing w:line="380" w:lineRule="exact"/>
        <w:ind w:firstLine="964" w:firstLineChars="400"/>
        <w:rPr>
          <w:rFonts w:ascii="宋体" w:hAnsi="宋体"/>
          <w:b/>
          <w:sz w:val="24"/>
        </w:rPr>
      </w:pPr>
      <w:r>
        <w:rPr>
          <w:rFonts w:hint="eastAsia" w:ascii="宋体" w:hAnsi="宋体"/>
          <w:b/>
          <w:sz w:val="24"/>
        </w:rPr>
        <w:t>2、本文件应按规定签署，否则响应文件无效</w:t>
      </w:r>
    </w:p>
    <w:p>
      <w:pPr>
        <w:spacing w:line="380" w:lineRule="exact"/>
        <w:ind w:firstLine="482" w:firstLineChars="200"/>
        <w:rPr>
          <w:rFonts w:ascii="宋体" w:hAnsi="宋体"/>
          <w:b/>
          <w:sz w:val="24"/>
        </w:rPr>
      </w:pPr>
    </w:p>
    <w:p>
      <w:pPr>
        <w:spacing w:line="380" w:lineRule="exact"/>
        <w:ind w:firstLine="482" w:firstLineChars="200"/>
        <w:rPr>
          <w:rFonts w:ascii="宋体" w:hAnsi="宋体"/>
          <w:b/>
          <w:sz w:val="24"/>
        </w:rPr>
      </w:pPr>
      <w:r>
        <w:rPr>
          <w:rFonts w:hint="eastAsia" w:ascii="宋体" w:hAnsi="宋体"/>
          <w:b/>
          <w:sz w:val="24"/>
        </w:rPr>
        <w:t xml:space="preserve">    </w:t>
      </w:r>
    </w:p>
    <w:p/>
    <w:p>
      <w:pPr>
        <w:snapToGrid w:val="0"/>
        <w:spacing w:line="360" w:lineRule="auto"/>
        <w:ind w:firstLine="2380"/>
        <w:rPr>
          <w:rFonts w:ascii="宋体" w:hAnsi="宋体"/>
          <w:b/>
          <w:bCs/>
          <w:sz w:val="44"/>
          <w:szCs w:val="44"/>
        </w:rPr>
      </w:pPr>
    </w:p>
    <w:p>
      <w:pPr>
        <w:rPr>
          <w:rFonts w:ascii="宋体" w:hAnsi="宋体"/>
          <w:sz w:val="36"/>
          <w:szCs w:val="36"/>
        </w:rPr>
      </w:pPr>
      <w:r>
        <w:rPr>
          <w:rFonts w:hint="eastAsia" w:ascii="宋体" w:hAnsi="宋体"/>
          <w:sz w:val="36"/>
          <w:szCs w:val="36"/>
        </w:rPr>
        <w:br w:type="page"/>
      </w:r>
    </w:p>
    <w:p>
      <w:pPr>
        <w:jc w:val="center"/>
        <w:rPr>
          <w:rFonts w:ascii="宋体" w:hAnsi="宋体"/>
          <w:szCs w:val="21"/>
          <w:u w:val="single"/>
        </w:rPr>
      </w:pPr>
      <w:r>
        <w:rPr>
          <w:rFonts w:hint="eastAsia" w:ascii="宋体" w:hAnsi="宋体"/>
          <w:sz w:val="36"/>
          <w:szCs w:val="36"/>
        </w:rPr>
        <w:t>三</w:t>
      </w:r>
      <w:r>
        <w:rPr>
          <w:rFonts w:ascii="宋体" w:hAnsi="宋体"/>
          <w:sz w:val="36"/>
          <w:szCs w:val="36"/>
        </w:rPr>
        <w:t>、</w:t>
      </w:r>
      <w:r>
        <w:rPr>
          <w:rFonts w:hint="eastAsia" w:ascii="宋体" w:hAnsi="宋体"/>
          <w:sz w:val="36"/>
          <w:szCs w:val="36"/>
        </w:rPr>
        <w:t>技术、商务条款偏离表</w:t>
      </w:r>
      <w:r>
        <w:rPr>
          <w:rFonts w:ascii="宋体" w:hAnsi="宋体"/>
          <w:sz w:val="36"/>
          <w:szCs w:val="36"/>
        </w:rPr>
        <w:t>格式</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848"/>
        <w:gridCol w:w="2632"/>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28" w:type="dxa"/>
            <w:vAlign w:val="center"/>
          </w:tcPr>
          <w:p>
            <w:pPr>
              <w:wordWrap w:val="0"/>
              <w:overflowPunct w:val="0"/>
              <w:topLinePunct/>
              <w:jc w:val="center"/>
              <w:rPr>
                <w:rFonts w:ascii="宋体" w:hAnsi="宋体"/>
                <w:szCs w:val="21"/>
              </w:rPr>
            </w:pPr>
            <w:r>
              <w:rPr>
                <w:rFonts w:hint="eastAsia" w:ascii="宋体" w:hAnsi="宋体"/>
                <w:szCs w:val="21"/>
              </w:rPr>
              <w:t>序号</w:t>
            </w:r>
          </w:p>
        </w:tc>
        <w:tc>
          <w:tcPr>
            <w:tcW w:w="3848" w:type="dxa"/>
            <w:vAlign w:val="center"/>
          </w:tcPr>
          <w:p>
            <w:pPr>
              <w:wordWrap w:val="0"/>
              <w:overflowPunct w:val="0"/>
              <w:topLinePunct/>
              <w:jc w:val="center"/>
              <w:rPr>
                <w:rFonts w:ascii="宋体" w:hAnsi="宋体"/>
                <w:szCs w:val="21"/>
              </w:rPr>
            </w:pPr>
            <w:r>
              <w:rPr>
                <w:rFonts w:hint="eastAsia" w:ascii="宋体" w:hAnsi="宋体"/>
                <w:szCs w:val="21"/>
              </w:rPr>
              <w:t>采购文件的商务条款</w:t>
            </w:r>
          </w:p>
        </w:tc>
        <w:tc>
          <w:tcPr>
            <w:tcW w:w="2632" w:type="dxa"/>
            <w:vAlign w:val="center"/>
          </w:tcPr>
          <w:p>
            <w:pPr>
              <w:wordWrap w:val="0"/>
              <w:overflowPunct w:val="0"/>
              <w:topLinePunct/>
              <w:jc w:val="center"/>
              <w:rPr>
                <w:rFonts w:ascii="宋体" w:hAnsi="宋体"/>
                <w:szCs w:val="21"/>
              </w:rPr>
            </w:pPr>
            <w:r>
              <w:rPr>
                <w:rFonts w:hint="eastAsia" w:ascii="宋体" w:hAnsi="宋体"/>
                <w:szCs w:val="21"/>
              </w:rPr>
              <w:t>响应文件的商务条款</w:t>
            </w:r>
          </w:p>
        </w:tc>
        <w:tc>
          <w:tcPr>
            <w:tcW w:w="1220" w:type="dxa"/>
            <w:vAlign w:val="center"/>
          </w:tcPr>
          <w:p>
            <w:pPr>
              <w:wordWrap w:val="0"/>
              <w:overflowPunct w:val="0"/>
              <w:topLinePunct/>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28" w:type="dxa"/>
            <w:vAlign w:val="center"/>
          </w:tcPr>
          <w:p>
            <w:pPr>
              <w:wordWrap w:val="0"/>
              <w:overflowPunct w:val="0"/>
              <w:topLinePunct/>
              <w:jc w:val="center"/>
              <w:rPr>
                <w:rFonts w:ascii="宋体" w:hAnsi="宋体"/>
                <w:szCs w:val="21"/>
              </w:rPr>
            </w:pPr>
            <w:r>
              <w:rPr>
                <w:rFonts w:hint="eastAsia" w:ascii="宋体" w:hAnsi="宋体"/>
                <w:szCs w:val="21"/>
              </w:rPr>
              <w:t>1</w:t>
            </w:r>
          </w:p>
        </w:tc>
        <w:tc>
          <w:tcPr>
            <w:tcW w:w="3848" w:type="dxa"/>
            <w:vAlign w:val="center"/>
          </w:tcPr>
          <w:p>
            <w:pPr>
              <w:wordWrap w:val="0"/>
              <w:overflowPunct w:val="0"/>
              <w:topLinePunct/>
              <w:spacing w:line="400" w:lineRule="exact"/>
              <w:jc w:val="left"/>
              <w:rPr>
                <w:rFonts w:ascii="宋体" w:hAnsi="宋体"/>
                <w:sz w:val="24"/>
              </w:rPr>
            </w:pPr>
            <w:r>
              <w:rPr>
                <w:rFonts w:hint="eastAsia" w:ascii="宋体" w:hAnsi="宋体"/>
                <w:sz w:val="24"/>
              </w:rPr>
              <w:t>★服务期限：自合同签订之日起一年（在采购人落实下一年度财政预算的前提下，且本项目采购需求相对固定、具有延续性，价格变化幅度小，双方协商同意，可依据本次采购结果所签订的合同续签一年,最多续签两次）</w:t>
            </w:r>
          </w:p>
        </w:tc>
        <w:tc>
          <w:tcPr>
            <w:tcW w:w="2632" w:type="dxa"/>
            <w:vAlign w:val="center"/>
          </w:tcPr>
          <w:p>
            <w:pPr>
              <w:wordWrap w:val="0"/>
              <w:overflowPunct w:val="0"/>
              <w:topLinePunct/>
              <w:jc w:val="center"/>
              <w:rPr>
                <w:rFonts w:ascii="宋体" w:hAnsi="宋体"/>
                <w:szCs w:val="21"/>
              </w:rPr>
            </w:pPr>
          </w:p>
        </w:tc>
        <w:tc>
          <w:tcPr>
            <w:tcW w:w="1220" w:type="dxa"/>
            <w:vAlign w:val="center"/>
          </w:tcPr>
          <w:p>
            <w:pPr>
              <w:wordWrap w:val="0"/>
              <w:overflowPunct w:val="0"/>
              <w:topLinePun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28" w:type="dxa"/>
            <w:vAlign w:val="center"/>
          </w:tcPr>
          <w:p>
            <w:pPr>
              <w:wordWrap w:val="0"/>
              <w:overflowPunct w:val="0"/>
              <w:topLinePunct/>
              <w:jc w:val="center"/>
              <w:rPr>
                <w:rFonts w:ascii="宋体" w:hAnsi="宋体"/>
                <w:szCs w:val="21"/>
              </w:rPr>
            </w:pPr>
            <w:r>
              <w:rPr>
                <w:rFonts w:hint="eastAsia" w:ascii="宋体" w:hAnsi="宋体"/>
                <w:szCs w:val="21"/>
              </w:rPr>
              <w:t>2</w:t>
            </w:r>
          </w:p>
        </w:tc>
        <w:tc>
          <w:tcPr>
            <w:tcW w:w="3848" w:type="dxa"/>
            <w:vAlign w:val="center"/>
          </w:tcPr>
          <w:p>
            <w:pPr>
              <w:wordWrap w:val="0"/>
              <w:overflowPunct w:val="0"/>
              <w:topLinePunct/>
              <w:spacing w:line="400" w:lineRule="exact"/>
              <w:jc w:val="left"/>
              <w:rPr>
                <w:rFonts w:ascii="宋体" w:hAnsi="宋体"/>
                <w:sz w:val="24"/>
              </w:rPr>
            </w:pPr>
            <w:r>
              <w:rPr>
                <w:rFonts w:hint="eastAsia" w:ascii="宋体" w:hAnsi="宋体"/>
                <w:sz w:val="24"/>
              </w:rPr>
              <w:t>★付款方式：</w:t>
            </w:r>
            <w:r>
              <w:rPr>
                <w:rFonts w:hint="eastAsia" w:ascii="宋体" w:hAnsi="宋体"/>
                <w:sz w:val="24"/>
                <w:lang w:eastAsia="zh-CN"/>
              </w:rPr>
              <w:t>服务费以中标金额及考核指标按月计算，中标人向招标人提供上月服务费用清单，</w:t>
            </w:r>
            <w:r>
              <w:rPr>
                <w:rFonts w:hint="eastAsia" w:ascii="宋体" w:hAnsi="宋体"/>
                <w:sz w:val="24"/>
              </w:rPr>
              <w:t>招标人核实确认后，根据每月最终实际发生额进行结算，具体付款时间以财政审定的拨款时间为准，招标人不承担因延迟付款所产生的利息等违约责任。</w:t>
            </w:r>
          </w:p>
        </w:tc>
        <w:tc>
          <w:tcPr>
            <w:tcW w:w="2632" w:type="dxa"/>
            <w:vAlign w:val="center"/>
          </w:tcPr>
          <w:p>
            <w:pPr>
              <w:wordWrap w:val="0"/>
              <w:overflowPunct w:val="0"/>
              <w:topLinePunct/>
              <w:jc w:val="center"/>
              <w:rPr>
                <w:rFonts w:ascii="宋体" w:hAnsi="宋体"/>
                <w:szCs w:val="21"/>
              </w:rPr>
            </w:pPr>
          </w:p>
        </w:tc>
        <w:tc>
          <w:tcPr>
            <w:tcW w:w="1220" w:type="dxa"/>
            <w:vAlign w:val="center"/>
          </w:tcPr>
          <w:p>
            <w:pPr>
              <w:wordWrap w:val="0"/>
              <w:overflowPunct w:val="0"/>
              <w:topLinePun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28" w:type="dxa"/>
            <w:vAlign w:val="center"/>
          </w:tcPr>
          <w:p>
            <w:pPr>
              <w:jc w:val="center"/>
              <w:rPr>
                <w:rFonts w:ascii="宋体" w:hAnsi="宋体"/>
                <w:sz w:val="24"/>
              </w:rPr>
            </w:pPr>
            <w:r>
              <w:rPr>
                <w:rFonts w:hint="eastAsia" w:ascii="宋体" w:hAnsi="宋体"/>
                <w:sz w:val="24"/>
              </w:rPr>
              <w:t>3</w:t>
            </w:r>
          </w:p>
        </w:tc>
        <w:tc>
          <w:tcPr>
            <w:tcW w:w="3848" w:type="dxa"/>
            <w:vAlign w:val="center"/>
          </w:tcPr>
          <w:p>
            <w:pPr>
              <w:wordWrap w:val="0"/>
              <w:overflowPunct w:val="0"/>
              <w:topLinePunct/>
              <w:spacing w:line="400" w:lineRule="exact"/>
              <w:jc w:val="left"/>
              <w:rPr>
                <w:rFonts w:ascii="宋体" w:hAnsi="宋体"/>
                <w:sz w:val="24"/>
              </w:rPr>
            </w:pPr>
            <w:r>
              <w:rPr>
                <w:rFonts w:hint="eastAsia" w:ascii="宋体" w:hAnsi="宋体"/>
                <w:sz w:val="24"/>
              </w:rPr>
              <w:t>★服务地点：采购人指定地点。</w:t>
            </w:r>
          </w:p>
        </w:tc>
        <w:tc>
          <w:tcPr>
            <w:tcW w:w="2632" w:type="dxa"/>
            <w:vAlign w:val="center"/>
          </w:tcPr>
          <w:p>
            <w:pPr>
              <w:adjustRightInd w:val="0"/>
              <w:snapToGrid w:val="0"/>
              <w:ind w:firstLine="420" w:firstLineChars="200"/>
              <w:rPr>
                <w:rFonts w:ascii="宋体" w:hAnsi="宋体" w:cs="宋体"/>
                <w:kern w:val="0"/>
                <w:szCs w:val="21"/>
              </w:rPr>
            </w:pPr>
          </w:p>
        </w:tc>
        <w:tc>
          <w:tcPr>
            <w:tcW w:w="1220" w:type="dxa"/>
            <w:vAlign w:val="center"/>
          </w:tcPr>
          <w:p>
            <w:pPr>
              <w:wordWrap w:val="0"/>
              <w:overflowPunct w:val="0"/>
              <w:topLinePun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28" w:type="dxa"/>
            <w:vAlign w:val="center"/>
          </w:tcPr>
          <w:p>
            <w:pPr>
              <w:jc w:val="center"/>
              <w:rPr>
                <w:rFonts w:ascii="宋体" w:hAnsi="宋体"/>
                <w:sz w:val="24"/>
              </w:rPr>
            </w:pPr>
            <w:r>
              <w:rPr>
                <w:rFonts w:hint="eastAsia" w:ascii="宋体" w:hAnsi="宋体"/>
                <w:sz w:val="24"/>
              </w:rPr>
              <w:t>4</w:t>
            </w:r>
          </w:p>
        </w:tc>
        <w:tc>
          <w:tcPr>
            <w:tcW w:w="3848" w:type="dxa"/>
            <w:vAlign w:val="center"/>
          </w:tcPr>
          <w:p>
            <w:pPr>
              <w:jc w:val="left"/>
              <w:rPr>
                <w:rFonts w:ascii="宋体" w:hAnsi="宋体"/>
                <w:sz w:val="24"/>
              </w:rPr>
            </w:pPr>
            <w:r>
              <w:rPr>
                <w:rFonts w:hint="eastAsia" w:ascii="宋体" w:hAnsi="宋体"/>
                <w:sz w:val="24"/>
              </w:rPr>
              <w:t>★</w:t>
            </w:r>
            <w:r>
              <w:rPr>
                <w:rFonts w:hint="eastAsia" w:ascii="宋体" w:hAnsi="宋体" w:cs="宋体"/>
                <w:spacing w:val="-5"/>
                <w:sz w:val="24"/>
              </w:rPr>
              <w:t>投标人须承诺提供的服务人员在合同生效之日起</w:t>
            </w:r>
            <w:r>
              <w:rPr>
                <w:rFonts w:hint="eastAsia" w:ascii="宋体" w:hAnsi="宋体" w:cs="宋体"/>
                <w:sz w:val="24"/>
              </w:rPr>
              <w:t>15</w:t>
            </w:r>
            <w:r>
              <w:rPr>
                <w:rFonts w:hint="eastAsia" w:ascii="宋体" w:hAnsi="宋体" w:cs="宋体"/>
                <w:spacing w:val="-10"/>
                <w:sz w:val="24"/>
              </w:rPr>
              <w:t>天内到岗</w:t>
            </w:r>
          </w:p>
        </w:tc>
        <w:tc>
          <w:tcPr>
            <w:tcW w:w="2632" w:type="dxa"/>
            <w:vAlign w:val="center"/>
          </w:tcPr>
          <w:p>
            <w:pPr>
              <w:wordWrap w:val="0"/>
              <w:overflowPunct w:val="0"/>
              <w:topLinePunct/>
              <w:jc w:val="center"/>
              <w:rPr>
                <w:rFonts w:ascii="宋体" w:hAnsi="宋体"/>
                <w:szCs w:val="21"/>
              </w:rPr>
            </w:pPr>
          </w:p>
        </w:tc>
        <w:tc>
          <w:tcPr>
            <w:tcW w:w="1220" w:type="dxa"/>
            <w:vAlign w:val="center"/>
          </w:tcPr>
          <w:p>
            <w:pPr>
              <w:wordWrap w:val="0"/>
              <w:overflowPunct w:val="0"/>
              <w:topLinePun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28" w:type="dxa"/>
            <w:vAlign w:val="center"/>
          </w:tcPr>
          <w:p>
            <w:pPr>
              <w:wordWrap w:val="0"/>
              <w:overflowPunct w:val="0"/>
              <w:topLinePunct/>
              <w:jc w:val="center"/>
              <w:rPr>
                <w:rFonts w:ascii="宋体" w:hAnsi="宋体"/>
                <w:szCs w:val="21"/>
              </w:rPr>
            </w:pPr>
            <w:r>
              <w:rPr>
                <w:rFonts w:hint="eastAsia" w:ascii="宋体" w:hAnsi="宋体"/>
                <w:szCs w:val="21"/>
              </w:rPr>
              <w:t>5</w:t>
            </w:r>
          </w:p>
        </w:tc>
        <w:tc>
          <w:tcPr>
            <w:tcW w:w="3848" w:type="dxa"/>
            <w:vAlign w:val="center"/>
          </w:tcPr>
          <w:p>
            <w:pPr>
              <w:wordWrap w:val="0"/>
              <w:overflowPunct w:val="0"/>
              <w:topLinePunct/>
              <w:jc w:val="center"/>
              <w:rPr>
                <w:rFonts w:ascii="宋体" w:hAnsi="宋体"/>
                <w:szCs w:val="21"/>
              </w:rPr>
            </w:pPr>
          </w:p>
        </w:tc>
        <w:tc>
          <w:tcPr>
            <w:tcW w:w="2632" w:type="dxa"/>
            <w:vAlign w:val="center"/>
          </w:tcPr>
          <w:p>
            <w:pPr>
              <w:wordWrap w:val="0"/>
              <w:overflowPunct w:val="0"/>
              <w:topLinePunct/>
              <w:jc w:val="center"/>
              <w:rPr>
                <w:rFonts w:ascii="宋体" w:hAnsi="宋体"/>
                <w:szCs w:val="21"/>
              </w:rPr>
            </w:pPr>
          </w:p>
        </w:tc>
        <w:tc>
          <w:tcPr>
            <w:tcW w:w="1220" w:type="dxa"/>
            <w:vAlign w:val="center"/>
          </w:tcPr>
          <w:p>
            <w:pPr>
              <w:wordWrap w:val="0"/>
              <w:overflowPunct w:val="0"/>
              <w:topLinePunct/>
              <w:jc w:val="center"/>
              <w:rPr>
                <w:rFonts w:ascii="宋体" w:hAnsi="宋体"/>
                <w:szCs w:val="21"/>
              </w:rPr>
            </w:pPr>
          </w:p>
        </w:tc>
      </w:tr>
    </w:tbl>
    <w:p>
      <w:pPr>
        <w:spacing w:line="360" w:lineRule="auto"/>
        <w:jc w:val="left"/>
        <w:rPr>
          <w:rFonts w:ascii="宋体" w:hAnsi="宋体" w:cs="宋体"/>
          <w:sz w:val="24"/>
          <w:u w:val="single"/>
        </w:rPr>
      </w:pPr>
      <w:r>
        <w:rPr>
          <w:rFonts w:hint="eastAsia" w:ascii="宋体" w:hAnsi="宋体" w:cs="宋体"/>
          <w:sz w:val="24"/>
        </w:rPr>
        <w:t>投标人名称（公章）：</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 </w:t>
      </w:r>
    </w:p>
    <w:p>
      <w:pPr>
        <w:widowControl/>
        <w:spacing w:line="360" w:lineRule="auto"/>
        <w:jc w:val="left"/>
        <w:rPr>
          <w:rFonts w:ascii="宋体" w:hAnsi="宋体" w:cs="宋体"/>
          <w:sz w:val="24"/>
          <w:u w:val="single"/>
        </w:rPr>
      </w:pPr>
      <w:r>
        <w:rPr>
          <w:rFonts w:hint="eastAsia" w:ascii="宋体" w:hAnsi="宋体" w:cs="宋体"/>
          <w:sz w:val="24"/>
        </w:rPr>
        <w:t>法定代表人或被授权人签字或盖章：</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rPr>
          <w:rFonts w:ascii="宋体" w:hAnsi="宋体" w:cs="宋体"/>
          <w:sz w:val="24"/>
        </w:rPr>
      </w:pPr>
    </w:p>
    <w:p>
      <w:pPr>
        <w:spacing w:line="380" w:lineRule="exact"/>
        <w:ind w:firstLine="482" w:firstLineChars="200"/>
        <w:jc w:val="left"/>
        <w:rPr>
          <w:rFonts w:ascii="宋体" w:hAnsi="宋体"/>
          <w:b/>
          <w:sz w:val="24"/>
        </w:rPr>
      </w:pPr>
      <w:r>
        <w:rPr>
          <w:rFonts w:ascii="宋体" w:hAnsi="宋体"/>
          <w:b/>
          <w:sz w:val="24"/>
        </w:rPr>
        <w:t>注：“★”条款为必须满足条款，如不能满足，视为无效报价。采购文件的技术和商务条款中未标记“★”号的为非实质性要求，未响应非实质性要求的磋商响应文件仍为有效，但可能影响评分。</w:t>
      </w:r>
    </w:p>
    <w:p>
      <w:pPr>
        <w:jc w:val="center"/>
        <w:rPr>
          <w:rFonts w:ascii="宋体" w:hAnsi="宋体"/>
          <w:sz w:val="36"/>
          <w:szCs w:val="36"/>
        </w:rPr>
      </w:pPr>
      <w:r>
        <w:rPr>
          <w:rFonts w:ascii="宋体" w:hAnsi="宋体"/>
          <w:sz w:val="24"/>
        </w:rPr>
        <w:br w:type="page"/>
      </w:r>
      <w:r>
        <w:rPr>
          <w:rFonts w:hint="eastAsia" w:ascii="宋体" w:hAnsi="宋体"/>
          <w:sz w:val="36"/>
          <w:szCs w:val="36"/>
        </w:rPr>
        <w:t>四、资格证明文件</w:t>
      </w:r>
    </w:p>
    <w:p>
      <w:pPr>
        <w:rPr>
          <w:rFonts w:ascii="宋体" w:hAnsi="宋体"/>
          <w:b/>
          <w:sz w:val="30"/>
          <w:szCs w:val="30"/>
        </w:rPr>
      </w:pPr>
      <w:r>
        <w:rPr>
          <w:rFonts w:hint="eastAsia" w:ascii="宋体" w:hAnsi="宋体"/>
          <w:b/>
          <w:sz w:val="30"/>
          <w:szCs w:val="30"/>
        </w:rPr>
        <w:t>资格证明文件按以下顺序装订（复印件需加盖供应商公章）</w:t>
      </w:r>
    </w:p>
    <w:p>
      <w:pPr>
        <w:spacing w:line="360" w:lineRule="auto"/>
        <w:ind w:firstLine="360" w:firstLineChars="150"/>
        <w:rPr>
          <w:rFonts w:ascii="宋体" w:hAnsi="宋体"/>
          <w:sz w:val="24"/>
        </w:rPr>
      </w:pPr>
      <w:r>
        <w:rPr>
          <w:rFonts w:hint="eastAsia" w:ascii="宋体" w:hAnsi="宋体"/>
          <w:sz w:val="24"/>
        </w:rPr>
        <w:t>1、营业执照副本复印件</w:t>
      </w:r>
    </w:p>
    <w:p>
      <w:pPr>
        <w:spacing w:line="360" w:lineRule="auto"/>
        <w:ind w:firstLine="360" w:firstLineChars="150"/>
        <w:rPr>
          <w:rFonts w:ascii="宋体" w:hAnsi="宋体"/>
          <w:sz w:val="24"/>
        </w:rPr>
      </w:pPr>
      <w:r>
        <w:rPr>
          <w:rFonts w:hint="eastAsia" w:ascii="宋体" w:hAnsi="宋体"/>
          <w:sz w:val="24"/>
        </w:rPr>
        <w:t>2、税务登记证复印件(若三证合一则不需提供)</w:t>
      </w:r>
    </w:p>
    <w:p>
      <w:pPr>
        <w:spacing w:line="360" w:lineRule="auto"/>
        <w:ind w:firstLine="360" w:firstLineChars="150"/>
        <w:rPr>
          <w:rFonts w:ascii="宋体" w:hAnsi="宋体"/>
          <w:sz w:val="24"/>
        </w:rPr>
      </w:pPr>
      <w:r>
        <w:rPr>
          <w:rFonts w:hint="eastAsia" w:ascii="宋体" w:hAnsi="宋体"/>
          <w:sz w:val="24"/>
        </w:rPr>
        <w:t>3、组织机构代码证复印件(若三证合一则不需提供)</w:t>
      </w:r>
    </w:p>
    <w:p>
      <w:pPr>
        <w:spacing w:line="360" w:lineRule="auto"/>
        <w:ind w:firstLine="360" w:firstLineChars="150"/>
        <w:rPr>
          <w:rFonts w:ascii="宋体" w:hAnsi="宋体"/>
          <w:sz w:val="24"/>
        </w:rPr>
      </w:pPr>
      <w:r>
        <w:rPr>
          <w:rFonts w:hint="eastAsia" w:ascii="宋体" w:hAnsi="宋体"/>
          <w:sz w:val="24"/>
        </w:rPr>
        <w:t>4、法定代表人（负责人、经营者）授权书（见附表1）</w:t>
      </w:r>
    </w:p>
    <w:p>
      <w:pPr>
        <w:spacing w:line="360" w:lineRule="auto"/>
        <w:ind w:firstLine="360" w:firstLineChars="150"/>
        <w:rPr>
          <w:rFonts w:ascii="宋体" w:hAnsi="宋体"/>
          <w:sz w:val="24"/>
        </w:rPr>
      </w:pPr>
      <w:r>
        <w:rPr>
          <w:rFonts w:hint="eastAsia" w:ascii="宋体" w:hAnsi="宋体"/>
          <w:sz w:val="24"/>
        </w:rPr>
        <w:t>5、法定代表人（负责人、经营者）身份证及被授权人（如有）身份证复印件</w:t>
      </w:r>
    </w:p>
    <w:p>
      <w:pPr>
        <w:spacing w:line="360" w:lineRule="auto"/>
        <w:ind w:firstLine="360" w:firstLineChars="150"/>
        <w:jc w:val="left"/>
        <w:rPr>
          <w:rFonts w:ascii="宋体" w:hAnsi="宋体"/>
          <w:sz w:val="24"/>
        </w:rPr>
      </w:pPr>
      <w:r>
        <w:rPr>
          <w:rFonts w:hint="eastAsia" w:ascii="宋体" w:hAnsi="宋体"/>
          <w:sz w:val="24"/>
        </w:rPr>
        <w:t>6、信用承诺书（见附表2）</w:t>
      </w:r>
    </w:p>
    <w:p>
      <w:pPr>
        <w:spacing w:line="360" w:lineRule="auto"/>
        <w:ind w:firstLine="360" w:firstLineChars="150"/>
        <w:jc w:val="left"/>
        <w:rPr>
          <w:rFonts w:ascii="宋体" w:hAnsi="宋体"/>
          <w:sz w:val="24"/>
        </w:rPr>
      </w:pPr>
      <w:r>
        <w:rPr>
          <w:rFonts w:hint="eastAsia" w:ascii="宋体" w:hAnsi="宋体"/>
          <w:sz w:val="24"/>
        </w:rPr>
        <w:t>7、中小企业声明函（见附表3）</w:t>
      </w:r>
    </w:p>
    <w:p>
      <w:pPr>
        <w:spacing w:line="360" w:lineRule="auto"/>
        <w:ind w:firstLine="360" w:firstLineChars="150"/>
        <w:jc w:val="left"/>
        <w:rPr>
          <w:rFonts w:ascii="宋体" w:hAnsi="宋体"/>
          <w:sz w:val="24"/>
        </w:rPr>
      </w:pPr>
      <w:r>
        <w:rPr>
          <w:rFonts w:hint="eastAsia" w:ascii="宋体" w:hAnsi="宋体"/>
          <w:sz w:val="24"/>
        </w:rPr>
        <w:t>8、无重大违法记录声明（见附表4）</w:t>
      </w: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rPr>
          <w:rFonts w:ascii="宋体" w:hAnsi="宋体"/>
          <w:sz w:val="36"/>
          <w:szCs w:val="36"/>
        </w:rPr>
      </w:pPr>
    </w:p>
    <w:p>
      <w:pPr>
        <w:jc w:val="left"/>
        <w:rPr>
          <w:rFonts w:ascii="宋体" w:hAnsi="宋体"/>
          <w:sz w:val="24"/>
        </w:rPr>
      </w:pPr>
    </w:p>
    <w:p>
      <w:pPr>
        <w:jc w:val="left"/>
        <w:rPr>
          <w:rFonts w:ascii="宋体" w:hAnsi="宋体"/>
          <w:sz w:val="24"/>
        </w:rPr>
      </w:pPr>
      <w:r>
        <w:rPr>
          <w:rFonts w:hint="eastAsia" w:ascii="宋体" w:hAnsi="宋体"/>
          <w:sz w:val="24"/>
        </w:rPr>
        <w:t>附表1</w:t>
      </w:r>
    </w:p>
    <w:p>
      <w:pPr>
        <w:jc w:val="center"/>
        <w:rPr>
          <w:rFonts w:ascii="宋体" w:hAnsi="宋体"/>
          <w:sz w:val="24"/>
        </w:rPr>
      </w:pPr>
      <w:r>
        <w:rPr>
          <w:rFonts w:hint="eastAsia" w:ascii="宋体" w:hAnsi="宋体"/>
          <w:sz w:val="24"/>
        </w:rPr>
        <w:t>法 定 代 表 人 授 权 书</w:t>
      </w:r>
    </w:p>
    <w:p>
      <w:pPr>
        <w:spacing w:line="360" w:lineRule="auto"/>
        <w:ind w:left="105" w:leftChars="50" w:firstLine="720" w:firstLineChars="300"/>
        <w:rPr>
          <w:rFonts w:ascii="宋体" w:hAnsi="宋体"/>
          <w:bCs/>
          <w:sz w:val="24"/>
        </w:rPr>
      </w:pPr>
    </w:p>
    <w:p>
      <w:pPr>
        <w:spacing w:line="360" w:lineRule="auto"/>
        <w:ind w:left="105" w:leftChars="50" w:firstLine="720" w:firstLineChars="300"/>
        <w:rPr>
          <w:rFonts w:ascii="宋体" w:hAnsi="宋体"/>
          <w:sz w:val="24"/>
        </w:rPr>
      </w:pPr>
      <w:r>
        <w:rPr>
          <w:rFonts w:hint="eastAsia" w:ascii="宋体" w:hAnsi="宋体"/>
          <w:bCs/>
          <w:sz w:val="24"/>
        </w:rPr>
        <w:t>兹授权(委托代理人姓名) (身份</w:t>
      </w:r>
      <w:r>
        <w:rPr>
          <w:rFonts w:ascii="宋体" w:hAnsi="宋体"/>
          <w:bCs/>
          <w:sz w:val="24"/>
        </w:rPr>
        <w:t>证号</w:t>
      </w:r>
      <w:r>
        <w:rPr>
          <w:rFonts w:hint="eastAsia" w:ascii="宋体" w:hAnsi="宋体"/>
          <w:bCs/>
          <w:sz w:val="24"/>
        </w:rPr>
        <w:t>）为我方委托代理人，参加政府</w:t>
      </w:r>
      <w:r>
        <w:rPr>
          <w:rFonts w:hint="eastAsia" w:ascii="宋体" w:hAnsi="宋体"/>
          <w:sz w:val="24"/>
        </w:rPr>
        <w:t>（项目名称、</w:t>
      </w:r>
      <w:r>
        <w:rPr>
          <w:rFonts w:ascii="宋体" w:hAnsi="宋体"/>
          <w:sz w:val="24"/>
        </w:rPr>
        <w:t>包号</w:t>
      </w:r>
      <w:r>
        <w:rPr>
          <w:rFonts w:hint="eastAsia" w:ascii="宋体" w:hAnsi="宋体"/>
          <w:sz w:val="24"/>
        </w:rPr>
        <w:t>）</w:t>
      </w:r>
      <w:r>
        <w:rPr>
          <w:rFonts w:hint="eastAsia" w:ascii="宋体" w:hAnsi="宋体"/>
          <w:sz w:val="24"/>
          <w:u w:val="single"/>
        </w:rPr>
        <w:t xml:space="preserve">                （</w:t>
      </w:r>
      <w:r>
        <w:rPr>
          <w:rFonts w:hint="eastAsia" w:ascii="宋体" w:hAnsi="宋体"/>
          <w:sz w:val="24"/>
        </w:rPr>
        <w:t>项目编号)的磋商采购活动，并以本公司名义处理一切与此次磋商有关的事宜。</w:t>
      </w:r>
      <w:r>
        <w:rPr>
          <w:rFonts w:ascii="宋体" w:hAnsi="宋体"/>
          <w:sz w:val="24"/>
        </w:rPr>
        <w:t>在</w:t>
      </w:r>
      <w:r>
        <w:rPr>
          <w:rFonts w:hint="eastAsia" w:ascii="宋体" w:hAnsi="宋体"/>
          <w:sz w:val="24"/>
        </w:rPr>
        <w:t>此</w:t>
      </w:r>
      <w:r>
        <w:rPr>
          <w:rFonts w:ascii="宋体" w:hAnsi="宋体"/>
          <w:sz w:val="24"/>
        </w:rPr>
        <w:t>次</w:t>
      </w:r>
      <w:r>
        <w:rPr>
          <w:rFonts w:hint="eastAsia" w:ascii="宋体" w:hAnsi="宋体"/>
          <w:sz w:val="24"/>
        </w:rPr>
        <w:t>磋商</w:t>
      </w:r>
      <w:r>
        <w:rPr>
          <w:rFonts w:ascii="宋体" w:hAnsi="宋体"/>
          <w:sz w:val="24"/>
        </w:rPr>
        <w:t>过程</w:t>
      </w:r>
      <w:r>
        <w:rPr>
          <w:rFonts w:hint="eastAsia" w:ascii="宋体" w:hAnsi="宋体"/>
          <w:sz w:val="24"/>
        </w:rPr>
        <w:t>中，</w:t>
      </w:r>
      <w:r>
        <w:rPr>
          <w:rFonts w:ascii="宋体" w:hAnsi="宋体"/>
          <w:sz w:val="24"/>
        </w:rPr>
        <w:t>本</w:t>
      </w:r>
      <w:r>
        <w:rPr>
          <w:rFonts w:hint="eastAsia" w:ascii="宋体" w:hAnsi="宋体"/>
          <w:sz w:val="24"/>
        </w:rPr>
        <w:t>公</w:t>
      </w:r>
      <w:r>
        <w:rPr>
          <w:rFonts w:ascii="宋体" w:hAnsi="宋体"/>
          <w:sz w:val="24"/>
        </w:rPr>
        <w:t>司将承担该</w:t>
      </w:r>
      <w:r>
        <w:rPr>
          <w:rFonts w:hint="eastAsia" w:ascii="宋体" w:hAnsi="宋体"/>
          <w:sz w:val="24"/>
        </w:rPr>
        <w:t>代理</w:t>
      </w:r>
      <w:r>
        <w:rPr>
          <w:rFonts w:ascii="宋体" w:hAnsi="宋体"/>
          <w:sz w:val="24"/>
        </w:rPr>
        <w:t>人</w:t>
      </w:r>
      <w:r>
        <w:rPr>
          <w:rFonts w:hint="eastAsia" w:ascii="宋体" w:hAnsi="宋体"/>
          <w:sz w:val="24"/>
        </w:rPr>
        <w:t>行</w:t>
      </w:r>
      <w:r>
        <w:rPr>
          <w:rFonts w:ascii="宋体" w:hAnsi="宋体"/>
          <w:sz w:val="24"/>
        </w:rPr>
        <w:t>为的全部法律</w:t>
      </w:r>
      <w:r>
        <w:rPr>
          <w:rFonts w:hint="eastAsia" w:ascii="宋体" w:hAnsi="宋体"/>
          <w:sz w:val="24"/>
        </w:rPr>
        <w:t>后</w:t>
      </w:r>
      <w:r>
        <w:rPr>
          <w:rFonts w:ascii="宋体" w:hAnsi="宋体"/>
          <w:sz w:val="24"/>
        </w:rPr>
        <w:t>果和法律责任。</w:t>
      </w:r>
    </w:p>
    <w:p>
      <w:pPr>
        <w:pStyle w:val="39"/>
        <w:spacing w:line="360" w:lineRule="auto"/>
        <w:ind w:firstLine="424" w:firstLineChars="177"/>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有效期与本公司磋商响应文件中标注的磋商有效期相同，自签章之日起生效。</w:t>
      </w:r>
    </w:p>
    <w:p>
      <w:pPr>
        <w:spacing w:line="360" w:lineRule="auto"/>
        <w:ind w:firstLine="435"/>
        <w:rPr>
          <w:rFonts w:ascii="宋体" w:hAnsi="宋体"/>
          <w:sz w:val="24"/>
        </w:rPr>
      </w:pPr>
    </w:p>
    <w:p>
      <w:pPr>
        <w:spacing w:line="360" w:lineRule="auto"/>
        <w:ind w:firstLine="435"/>
        <w:rPr>
          <w:rFonts w:ascii="宋体" w:hAnsi="宋体"/>
          <w:sz w:val="24"/>
        </w:rPr>
      </w:pPr>
    </w:p>
    <w:p>
      <w:pPr>
        <w:spacing w:line="360" w:lineRule="auto"/>
        <w:ind w:firstLine="435"/>
        <w:rPr>
          <w:rFonts w:ascii="宋体" w:hAnsi="宋体"/>
          <w:sz w:val="24"/>
        </w:rPr>
      </w:pPr>
    </w:p>
    <w:p>
      <w:pPr>
        <w:spacing w:line="480" w:lineRule="auto"/>
        <w:ind w:firstLine="437"/>
        <w:rPr>
          <w:rFonts w:ascii="宋体" w:hAnsi="宋体"/>
          <w:sz w:val="24"/>
          <w:u w:val="single"/>
        </w:rPr>
      </w:pPr>
      <w:r>
        <w:rPr>
          <w:rFonts w:hint="eastAsia" w:ascii="宋体" w:hAnsi="宋体"/>
          <w:sz w:val="24"/>
        </w:rPr>
        <w:t>法定代表人签字或盖章</w:t>
      </w:r>
    </w:p>
    <w:p>
      <w:pPr>
        <w:spacing w:line="480" w:lineRule="auto"/>
        <w:ind w:firstLine="437"/>
        <w:rPr>
          <w:rFonts w:ascii="宋体" w:hAnsi="宋体"/>
          <w:sz w:val="24"/>
          <w:u w:val="single"/>
        </w:rPr>
      </w:pPr>
      <w:r>
        <w:rPr>
          <w:rFonts w:hint="eastAsia" w:ascii="宋体" w:hAnsi="宋体"/>
          <w:sz w:val="24"/>
        </w:rPr>
        <w:t>被授权人签字</w:t>
      </w:r>
    </w:p>
    <w:p>
      <w:pPr>
        <w:spacing w:line="480" w:lineRule="auto"/>
        <w:ind w:firstLine="437"/>
        <w:rPr>
          <w:rFonts w:ascii="宋体" w:hAnsi="宋体"/>
          <w:sz w:val="24"/>
          <w:u w:val="single"/>
        </w:rPr>
      </w:pPr>
      <w:r>
        <w:rPr>
          <w:rFonts w:hint="eastAsia" w:ascii="宋体" w:hAnsi="宋体"/>
          <w:sz w:val="24"/>
        </w:rPr>
        <w:t>供应商公章</w:t>
      </w:r>
    </w:p>
    <w:p>
      <w:pPr>
        <w:spacing w:line="360" w:lineRule="auto"/>
        <w:ind w:firstLine="437"/>
        <w:rPr>
          <w:rFonts w:ascii="宋体" w:hAnsi="宋体"/>
          <w:sz w:val="24"/>
          <w:u w:val="single"/>
        </w:rPr>
      </w:pPr>
    </w:p>
    <w:p>
      <w:pPr>
        <w:spacing w:line="360" w:lineRule="auto"/>
        <w:ind w:firstLine="437"/>
        <w:rPr>
          <w:rFonts w:ascii="宋体" w:hAnsi="宋体"/>
          <w:sz w:val="24"/>
          <w:u w:val="single"/>
        </w:rPr>
      </w:pPr>
    </w:p>
    <w:p>
      <w:pPr>
        <w:spacing w:line="360" w:lineRule="auto"/>
        <w:rPr>
          <w:rFonts w:ascii="宋体" w:hAnsi="宋体"/>
          <w:sz w:val="24"/>
          <w:u w:val="single"/>
        </w:rPr>
      </w:pPr>
    </w:p>
    <w:p>
      <w:pPr>
        <w:spacing w:line="360" w:lineRule="auto"/>
        <w:ind w:left="164" w:leftChars="78" w:firstLine="120" w:firstLineChars="50"/>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1、法定代表人和</w:t>
      </w:r>
      <w:r>
        <w:rPr>
          <w:rFonts w:ascii="宋体" w:hAnsi="宋体"/>
          <w:b/>
          <w:sz w:val="24"/>
        </w:rPr>
        <w:t>被授权人</w:t>
      </w:r>
      <w:r>
        <w:rPr>
          <w:rFonts w:hint="eastAsia" w:ascii="宋体" w:hAnsi="宋体"/>
          <w:b/>
          <w:sz w:val="24"/>
        </w:rPr>
        <w:t>签字</w:t>
      </w:r>
      <w:r>
        <w:rPr>
          <w:rFonts w:ascii="宋体" w:hAnsi="宋体"/>
          <w:b/>
          <w:sz w:val="24"/>
        </w:rPr>
        <w:t>，</w:t>
      </w:r>
      <w:r>
        <w:rPr>
          <w:rFonts w:hint="eastAsia" w:ascii="宋体" w:hAnsi="宋体"/>
          <w:b/>
          <w:sz w:val="24"/>
        </w:rPr>
        <w:t>必须是亲笔签名。</w:t>
      </w:r>
    </w:p>
    <w:p>
      <w:pPr>
        <w:spacing w:line="360" w:lineRule="auto"/>
        <w:ind w:left="164" w:leftChars="78" w:firstLine="602" w:firstLineChars="250"/>
        <w:rPr>
          <w:rFonts w:ascii="宋体" w:hAnsi="宋体"/>
          <w:b/>
          <w:sz w:val="24"/>
        </w:rPr>
      </w:pPr>
      <w:r>
        <w:rPr>
          <w:rFonts w:ascii="宋体" w:hAnsi="宋体"/>
          <w:b/>
          <w:sz w:val="24"/>
        </w:rPr>
        <w:t>2</w:t>
      </w:r>
      <w:r>
        <w:rPr>
          <w:rFonts w:hint="eastAsia" w:ascii="宋体" w:hAnsi="宋体"/>
          <w:b/>
          <w:sz w:val="24"/>
        </w:rPr>
        <w:t>、</w:t>
      </w:r>
      <w:r>
        <w:rPr>
          <w:rFonts w:ascii="宋体" w:hAnsi="宋体"/>
          <w:b/>
          <w:sz w:val="24"/>
        </w:rPr>
        <w:t>法定代</w:t>
      </w:r>
      <w:r>
        <w:rPr>
          <w:rFonts w:hint="eastAsia" w:ascii="宋体" w:hAnsi="宋体"/>
          <w:b/>
          <w:sz w:val="24"/>
        </w:rPr>
        <w:t>表</w:t>
      </w:r>
      <w:r>
        <w:rPr>
          <w:rFonts w:ascii="宋体" w:hAnsi="宋体"/>
          <w:b/>
          <w:sz w:val="24"/>
        </w:rPr>
        <w:t>人盖章</w:t>
      </w:r>
      <w:r>
        <w:rPr>
          <w:rFonts w:hint="eastAsia" w:ascii="宋体" w:hAnsi="宋体"/>
          <w:b/>
          <w:sz w:val="24"/>
        </w:rPr>
        <w:t>和</w:t>
      </w:r>
      <w:r>
        <w:rPr>
          <w:rFonts w:ascii="宋体" w:hAnsi="宋体"/>
          <w:b/>
          <w:sz w:val="24"/>
        </w:rPr>
        <w:t>供应商公章</w:t>
      </w:r>
      <w:r>
        <w:rPr>
          <w:rFonts w:hint="eastAsia" w:ascii="宋体" w:hAnsi="宋体"/>
          <w:b/>
          <w:sz w:val="24"/>
        </w:rPr>
        <w:t>，</w:t>
      </w:r>
      <w:r>
        <w:rPr>
          <w:rFonts w:ascii="宋体" w:hAnsi="宋体"/>
          <w:b/>
          <w:sz w:val="24"/>
        </w:rPr>
        <w:t>必须</w:t>
      </w:r>
      <w:r>
        <w:rPr>
          <w:rFonts w:hint="eastAsia" w:ascii="宋体" w:hAnsi="宋体"/>
          <w:b/>
          <w:sz w:val="24"/>
        </w:rPr>
        <w:t>是经公安部门备案的印章。</w:t>
      </w:r>
    </w:p>
    <w:p>
      <w:pPr>
        <w:spacing w:line="360" w:lineRule="auto"/>
        <w:ind w:left="164" w:leftChars="78" w:firstLine="602" w:firstLineChars="250"/>
        <w:rPr>
          <w:rFonts w:ascii="宋体" w:hAnsi="宋体"/>
          <w:b/>
          <w:sz w:val="24"/>
        </w:rPr>
      </w:pPr>
      <w:r>
        <w:rPr>
          <w:rFonts w:hint="eastAsia" w:ascii="宋体" w:hAnsi="宋体"/>
          <w:b/>
          <w:sz w:val="24"/>
        </w:rPr>
        <w:t>3、</w:t>
      </w:r>
      <w:r>
        <w:rPr>
          <w:rFonts w:ascii="宋体" w:hAnsi="宋体"/>
          <w:b/>
          <w:sz w:val="24"/>
        </w:rPr>
        <w:t>不得使用其他印章或电子制版签名。</w:t>
      </w:r>
    </w:p>
    <w:p>
      <w:pPr>
        <w:spacing w:line="360" w:lineRule="auto"/>
        <w:ind w:left="164" w:leftChars="78" w:firstLine="602" w:firstLineChars="250"/>
        <w:rPr>
          <w:rFonts w:ascii="宋体" w:hAnsi="宋体"/>
          <w:b/>
          <w:sz w:val="24"/>
        </w:rPr>
      </w:pPr>
      <w:r>
        <w:rPr>
          <w:rFonts w:hint="eastAsia" w:ascii="宋体" w:hAnsi="宋体"/>
          <w:b/>
          <w:sz w:val="24"/>
        </w:rPr>
        <w:t>4、应按规定签字，否则磋商响应文件无效。</w:t>
      </w:r>
    </w:p>
    <w:p>
      <w:pPr>
        <w:rPr>
          <w:sz w:val="24"/>
        </w:rPr>
      </w:pPr>
    </w:p>
    <w:p>
      <w:pPr>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sz w:val="24"/>
        </w:rPr>
      </w:pPr>
      <w:r>
        <w:rPr>
          <w:rFonts w:hint="eastAsia" w:ascii="宋体" w:hAnsi="宋体"/>
        </w:rPr>
        <w:tab/>
      </w: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rPr>
          <w:rFonts w:ascii="宋体" w:hAnsi="宋体"/>
          <w:sz w:val="24"/>
        </w:rPr>
      </w:pPr>
    </w:p>
    <w:p>
      <w:pPr>
        <w:spacing w:line="360" w:lineRule="auto"/>
        <w:jc w:val="left"/>
        <w:rPr>
          <w:rFonts w:ascii="宋体" w:hAnsi="宋体"/>
          <w:sz w:val="24"/>
        </w:rPr>
      </w:pPr>
      <w:r>
        <w:rPr>
          <w:rFonts w:hint="eastAsia" w:ascii="宋体" w:hAnsi="宋体"/>
          <w:sz w:val="24"/>
        </w:rPr>
        <w:t>附表2</w:t>
      </w:r>
    </w:p>
    <w:p>
      <w:pPr>
        <w:jc w:val="center"/>
        <w:rPr>
          <w:b/>
          <w:sz w:val="30"/>
          <w:szCs w:val="30"/>
        </w:rPr>
      </w:pPr>
      <w:bookmarkStart w:id="44" w:name="_Toc3585"/>
      <w:r>
        <w:rPr>
          <w:rFonts w:hint="eastAsia"/>
          <w:b/>
          <w:sz w:val="30"/>
          <w:szCs w:val="30"/>
        </w:rPr>
        <w:t>信用承诺书</w:t>
      </w:r>
      <w:bookmarkEnd w:id="44"/>
    </w:p>
    <w:p>
      <w:pPr>
        <w:widowControl/>
        <w:spacing w:line="360" w:lineRule="auto"/>
        <w:jc w:val="left"/>
        <w:rPr>
          <w:rFonts w:ascii="宋体" w:hAnsi="宋体" w:cs="宋体"/>
          <w:sz w:val="24"/>
        </w:rPr>
      </w:pPr>
      <w:r>
        <w:rPr>
          <w:rFonts w:hint="eastAsia" w:ascii="宋体" w:hAnsi="宋体" w:cs="宋体"/>
          <w:kern w:val="0"/>
          <w:sz w:val="24"/>
        </w:rPr>
        <w:t>致：</w:t>
      </w:r>
      <w:r>
        <w:rPr>
          <w:rFonts w:hint="eastAsia" w:ascii="宋体" w:hAnsi="宋体"/>
          <w:sz w:val="24"/>
          <w:u w:val="single"/>
        </w:rPr>
        <w:t>（采购单位、采购代理机构）</w:t>
      </w:r>
    </w:p>
    <w:p>
      <w:pPr>
        <w:widowControl/>
        <w:spacing w:line="360" w:lineRule="auto"/>
        <w:ind w:firstLine="420"/>
        <w:jc w:val="left"/>
        <w:rPr>
          <w:rFonts w:ascii="宋体" w:hAnsi="宋体" w:cs="宋体"/>
          <w:kern w:val="0"/>
          <w:sz w:val="24"/>
        </w:rPr>
      </w:pPr>
      <w:r>
        <w:rPr>
          <w:rFonts w:hint="eastAsia" w:ascii="宋体" w:hAnsi="宋体" w:cs="宋体"/>
          <w:kern w:val="0"/>
          <w:sz w:val="24"/>
        </w:rPr>
        <w:t>我单位在参与（项目名称：项目编号：）的政府采购活动中，自愿做出承诺：根据《中华人民共和国政府采购法》《中华人民共和国政府采购法实施条例》等规定及采购文件资格要求，我单位符合以下条件：</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1.具有良好的商业信誉和健全的财务会计制度；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2.依法缴纳税收和社会保障资金的良好记录； </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3.参加政府采购活动前三年内，在经营活动中无重大违法记录。</w:t>
      </w:r>
    </w:p>
    <w:p>
      <w:pPr>
        <w:widowControl/>
        <w:spacing w:line="360" w:lineRule="auto"/>
        <w:jc w:val="left"/>
        <w:rPr>
          <w:rFonts w:ascii="宋体" w:hAnsi="宋体" w:cs="宋体"/>
          <w:sz w:val="24"/>
        </w:rPr>
      </w:pPr>
    </w:p>
    <w:p>
      <w:pPr>
        <w:widowControl/>
        <w:spacing w:line="360" w:lineRule="auto"/>
        <w:ind w:firstLine="420"/>
        <w:jc w:val="left"/>
        <w:rPr>
          <w:rFonts w:ascii="宋体" w:hAnsi="宋体" w:cs="宋体"/>
          <w:kern w:val="0"/>
          <w:sz w:val="24"/>
        </w:rPr>
      </w:pPr>
      <w:r>
        <w:rPr>
          <w:rFonts w:hint="eastAsia" w:ascii="宋体" w:hAnsi="宋体" w:cs="宋体"/>
          <w:kern w:val="0"/>
          <w:sz w:val="24"/>
        </w:rPr>
        <w:t>若我单位以上承诺不实，自愿承担提供虚假采购的法律责任。</w:t>
      </w:r>
    </w:p>
    <w:p>
      <w:pPr>
        <w:widowControl/>
        <w:spacing w:line="360" w:lineRule="auto"/>
        <w:jc w:val="left"/>
        <w:rPr>
          <w:rFonts w:ascii="宋体" w:hAnsi="宋体"/>
          <w:sz w:val="24"/>
        </w:rPr>
      </w:pPr>
    </w:p>
    <w:p>
      <w:pPr>
        <w:widowControl/>
        <w:spacing w:line="360" w:lineRule="auto"/>
        <w:ind w:firstLine="420"/>
        <w:jc w:val="left"/>
        <w:rPr>
          <w:rFonts w:ascii="宋体" w:hAnsi="宋体" w:cs="宋体"/>
          <w:kern w:val="0"/>
          <w:sz w:val="24"/>
        </w:rPr>
      </w:pPr>
    </w:p>
    <w:p>
      <w:pPr>
        <w:widowControl/>
        <w:spacing w:line="360" w:lineRule="auto"/>
        <w:ind w:firstLine="420"/>
        <w:jc w:val="left"/>
        <w:rPr>
          <w:rFonts w:ascii="宋体" w:hAnsi="宋体" w:cs="宋体"/>
          <w:kern w:val="0"/>
          <w:sz w:val="24"/>
        </w:rPr>
      </w:pPr>
    </w:p>
    <w:p>
      <w:pPr>
        <w:widowControl/>
        <w:spacing w:line="360" w:lineRule="auto"/>
        <w:ind w:firstLine="420"/>
        <w:jc w:val="left"/>
        <w:rPr>
          <w:rFonts w:ascii="宋体" w:hAnsi="宋体" w:cs="宋体"/>
          <w:kern w:val="0"/>
          <w:sz w:val="24"/>
        </w:rPr>
      </w:pPr>
    </w:p>
    <w:p>
      <w:pPr>
        <w:widowControl/>
        <w:spacing w:line="360" w:lineRule="auto"/>
        <w:jc w:val="left"/>
        <w:rPr>
          <w:rFonts w:ascii="宋体" w:hAnsi="宋体" w:cs="宋体"/>
          <w:kern w:val="0"/>
          <w:sz w:val="24"/>
        </w:rPr>
      </w:pPr>
      <w:r>
        <w:rPr>
          <w:rFonts w:hint="eastAsia" w:ascii="宋体" w:hAnsi="宋体" w:cs="宋体"/>
          <w:kern w:val="0"/>
          <w:sz w:val="24"/>
        </w:rPr>
        <w:t>承诺供应商（公章）：</w:t>
      </w:r>
    </w:p>
    <w:p>
      <w:pPr>
        <w:widowControl/>
        <w:spacing w:line="360" w:lineRule="auto"/>
        <w:jc w:val="left"/>
        <w:rPr>
          <w:rFonts w:ascii="宋体" w:hAnsi="宋体" w:cs="宋体"/>
          <w:kern w:val="0"/>
          <w:sz w:val="24"/>
        </w:rPr>
      </w:pPr>
      <w:r>
        <w:rPr>
          <w:rFonts w:hint="eastAsia" w:ascii="宋体" w:hAnsi="宋体" w:cs="宋体"/>
          <w:kern w:val="0"/>
          <w:sz w:val="24"/>
        </w:rPr>
        <w:t>供应商法定代表人或被授权人（签字或盖章）：</w:t>
      </w:r>
    </w:p>
    <w:p>
      <w:pPr>
        <w:widowControl/>
        <w:spacing w:line="360" w:lineRule="auto"/>
        <w:jc w:val="left"/>
        <w:rPr>
          <w:rFonts w:ascii="宋体" w:hAnsi="宋体" w:cs="宋体"/>
          <w:kern w:val="0"/>
          <w:sz w:val="24"/>
        </w:rPr>
      </w:pPr>
      <w:r>
        <w:rPr>
          <w:rFonts w:hint="eastAsia" w:ascii="宋体" w:hAnsi="宋体" w:cs="宋体"/>
          <w:kern w:val="0"/>
          <w:sz w:val="24"/>
        </w:rPr>
        <w:t>日期：</w:t>
      </w:r>
    </w:p>
    <w:p>
      <w:pPr>
        <w:widowControl/>
        <w:spacing w:line="360" w:lineRule="auto"/>
        <w:ind w:firstLine="420"/>
        <w:jc w:val="left"/>
        <w:rPr>
          <w:rFonts w:ascii="宋体" w:hAnsi="宋体" w:cs="宋体"/>
          <w:kern w:val="0"/>
          <w:sz w:val="24"/>
        </w:rPr>
      </w:pPr>
    </w:p>
    <w:p>
      <w:pPr>
        <w:widowControl/>
        <w:spacing w:line="360" w:lineRule="auto"/>
        <w:ind w:firstLine="420"/>
        <w:jc w:val="left"/>
        <w:rPr>
          <w:rFonts w:ascii="宋体" w:hAnsi="宋体" w:cs="宋体"/>
          <w:kern w:val="0"/>
          <w:sz w:val="24"/>
        </w:rPr>
      </w:pPr>
    </w:p>
    <w:p>
      <w:pPr>
        <w:widowControl/>
        <w:spacing w:line="360" w:lineRule="auto"/>
        <w:jc w:val="left"/>
        <w:rPr>
          <w:rFonts w:ascii="宋体" w:hAnsi="宋体" w:cs="宋体"/>
          <w:kern w:val="0"/>
          <w:sz w:val="24"/>
        </w:rPr>
      </w:pPr>
      <w:r>
        <w:rPr>
          <w:rFonts w:hint="eastAsia" w:ascii="宋体" w:hAnsi="宋体" w:cs="宋体"/>
          <w:kern w:val="0"/>
          <w:sz w:val="24"/>
        </w:rPr>
        <w:t>说明：供应商可自行选择是否提供本承诺书，若不提供，应按《中华人民共和国政府采购法》《中华人民共和国政府采购法实施条例》等规定及采购文件资格要求提供相应的证明材料。</w:t>
      </w:r>
    </w:p>
    <w:p>
      <w:pPr>
        <w:widowControl/>
        <w:spacing w:line="360" w:lineRule="auto"/>
        <w:jc w:val="left"/>
        <w:rPr>
          <w:rFonts w:ascii="宋体" w:hAnsi="宋体" w:cs="宋体"/>
          <w:kern w:val="0"/>
          <w:sz w:val="24"/>
        </w:rPr>
      </w:pPr>
    </w:p>
    <w:p>
      <w:pPr>
        <w:spacing w:line="360" w:lineRule="exact"/>
        <w:ind w:right="1050" w:rightChars="500"/>
        <w:rPr>
          <w:rFonts w:cs="宋体"/>
          <w:sz w:val="28"/>
          <w:szCs w:val="28"/>
        </w:rPr>
      </w:pPr>
      <w:r>
        <w:rPr>
          <w:rFonts w:hint="eastAsia" w:ascii="宋体" w:hAnsi="宋体"/>
          <w:b/>
          <w:sz w:val="24"/>
        </w:rPr>
        <w:t>注：本文件应按规定签署或按资格要求提供相应证明材料，否则视为无效文件。</w:t>
      </w: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rPr>
          <w:rFonts w:ascii="宋体" w:hAnsi="宋体"/>
          <w:sz w:val="36"/>
          <w:szCs w:val="36"/>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附表3</w:t>
      </w:r>
    </w:p>
    <w:p>
      <w:pPr>
        <w:spacing w:line="588" w:lineRule="exact"/>
        <w:jc w:val="center"/>
        <w:rPr>
          <w:rFonts w:ascii="宋体" w:hAnsi="宋体"/>
          <w:b/>
          <w:spacing w:val="6"/>
          <w:sz w:val="30"/>
          <w:szCs w:val="30"/>
        </w:rPr>
      </w:pPr>
      <w:r>
        <w:rPr>
          <w:rFonts w:hint="eastAsia" w:ascii="宋体" w:hAnsi="宋体"/>
          <w:b/>
          <w:spacing w:val="6"/>
          <w:sz w:val="30"/>
          <w:szCs w:val="30"/>
        </w:rPr>
        <w:t>中小企业声明函</w:t>
      </w:r>
    </w:p>
    <w:p>
      <w:pPr>
        <w:spacing w:line="588" w:lineRule="exact"/>
        <w:ind w:firstLine="504" w:firstLineChars="200"/>
        <w:rPr>
          <w:rFonts w:ascii="宋体" w:hAnsi="宋体"/>
          <w:spacing w:val="6"/>
          <w:sz w:val="24"/>
        </w:rPr>
      </w:pPr>
      <w:r>
        <w:rPr>
          <w:rFonts w:hint="eastAsia" w:ascii="宋体" w:hAnsi="宋体"/>
          <w:spacing w:val="6"/>
          <w:sz w:val="24"/>
        </w:rPr>
        <w:t>本公司(联合体)郑重声明，根据《政府采购促进中小企业发展管理办法》(财库(2020)46号)的规定,本公司(联合体)参加</w:t>
      </w:r>
      <w:r>
        <w:rPr>
          <w:rFonts w:hint="eastAsia" w:ascii="宋体" w:hAnsi="宋体"/>
          <w:spacing w:val="6"/>
          <w:sz w:val="24"/>
          <w:u w:val="single"/>
        </w:rPr>
        <w:t xml:space="preserve"> (单位名称) </w:t>
      </w:r>
      <w:r>
        <w:rPr>
          <w:rFonts w:hint="eastAsia" w:ascii="宋体" w:hAnsi="宋体"/>
          <w:spacing w:val="6"/>
          <w:sz w:val="24"/>
        </w:rPr>
        <w:t>的</w:t>
      </w:r>
      <w:r>
        <w:rPr>
          <w:rFonts w:hint="eastAsia" w:ascii="宋体" w:hAnsi="宋体"/>
          <w:spacing w:val="6"/>
          <w:sz w:val="24"/>
          <w:u w:val="single"/>
        </w:rPr>
        <w:t xml:space="preserve"> (项目名称) </w:t>
      </w:r>
      <w:r>
        <w:rPr>
          <w:rFonts w:hint="eastAsia" w:ascii="宋体" w:hAnsi="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588" w:lineRule="exact"/>
        <w:ind w:firstLine="504" w:firstLineChars="200"/>
        <w:rPr>
          <w:rFonts w:ascii="宋体" w:hAnsi="宋体"/>
          <w:spacing w:val="6"/>
          <w:sz w:val="24"/>
        </w:rPr>
      </w:pPr>
      <w:r>
        <w:rPr>
          <w:rFonts w:hint="eastAsia" w:ascii="宋体" w:hAnsi="宋体"/>
          <w:spacing w:val="6"/>
          <w:sz w:val="24"/>
        </w:rPr>
        <w:t>1.</w:t>
      </w:r>
      <w:r>
        <w:rPr>
          <w:rFonts w:hint="eastAsia" w:ascii="宋体" w:hAnsi="宋体"/>
          <w:spacing w:val="6"/>
          <w:sz w:val="24"/>
          <w:u w:val="single"/>
        </w:rPr>
        <w:t>(标的名称)</w:t>
      </w:r>
      <w:r>
        <w:rPr>
          <w:rFonts w:hint="eastAsia" w:ascii="宋体" w:hAnsi="宋体"/>
          <w:spacing w:val="6"/>
          <w:sz w:val="24"/>
        </w:rPr>
        <w:t>,属于</w:t>
      </w:r>
      <w:r>
        <w:rPr>
          <w:rFonts w:hint="eastAsia" w:ascii="宋体" w:hAnsi="宋体"/>
          <w:spacing w:val="6"/>
          <w:sz w:val="24"/>
          <w:u w:val="single"/>
        </w:rPr>
        <w:t>(采购文件中明确的所属行业)</w:t>
      </w:r>
      <w:r>
        <w:rPr>
          <w:rFonts w:hint="eastAsia" w:ascii="宋体" w:hAnsi="宋体"/>
          <w:spacing w:val="6"/>
          <w:sz w:val="24"/>
        </w:rPr>
        <w:t>；承建(承接)企业为</w:t>
      </w:r>
      <w:r>
        <w:rPr>
          <w:rFonts w:hint="eastAsia" w:ascii="宋体" w:hAnsi="宋体"/>
          <w:spacing w:val="6"/>
          <w:sz w:val="24"/>
          <w:u w:val="single"/>
        </w:rPr>
        <w:t>(企业名称)</w:t>
      </w:r>
      <w:r>
        <w:rPr>
          <w:rFonts w:hint="eastAsia" w:ascii="宋体" w:hAnsi="宋体"/>
          <w:spacing w:val="6"/>
          <w:sz w:val="24"/>
        </w:rPr>
        <w:t>从业人员</w:t>
      </w:r>
      <w:r>
        <w:rPr>
          <w:rFonts w:hint="eastAsia" w:ascii="宋体" w:hAnsi="宋体"/>
          <w:spacing w:val="6"/>
          <w:sz w:val="24"/>
          <w:u w:val="single"/>
        </w:rPr>
        <w:t xml:space="preserve">    </w:t>
      </w:r>
      <w:r>
        <w:rPr>
          <w:rFonts w:hint="eastAsia" w:ascii="宋体" w:hAnsi="宋体"/>
          <w:spacing w:val="6"/>
          <w:sz w:val="24"/>
        </w:rPr>
        <w:t>人,营业收入为</w:t>
      </w:r>
      <w:r>
        <w:rPr>
          <w:rFonts w:hint="eastAsia" w:ascii="宋体" w:hAnsi="宋体"/>
          <w:spacing w:val="6"/>
          <w:sz w:val="24"/>
          <w:u w:val="single"/>
        </w:rPr>
        <w:t xml:space="preserve">    </w:t>
      </w:r>
      <w:r>
        <w:rPr>
          <w:rFonts w:hint="eastAsia" w:ascii="宋体" w:hAnsi="宋体"/>
          <w:spacing w:val="6"/>
          <w:sz w:val="24"/>
        </w:rPr>
        <w:t>万元,资产总额为</w:t>
      </w:r>
      <w:r>
        <w:rPr>
          <w:rFonts w:hint="eastAsia" w:ascii="宋体" w:hAnsi="宋体"/>
          <w:spacing w:val="6"/>
          <w:sz w:val="24"/>
          <w:u w:val="single"/>
        </w:rPr>
        <w:t xml:space="preserve">    </w:t>
      </w:r>
      <w:r>
        <w:rPr>
          <w:rFonts w:hint="eastAsia" w:ascii="宋体" w:hAnsi="宋体"/>
          <w:spacing w:val="6"/>
          <w:sz w:val="24"/>
        </w:rPr>
        <w:t>万元,属于</w:t>
      </w:r>
      <w:r>
        <w:rPr>
          <w:rFonts w:hint="eastAsia" w:ascii="宋体" w:hAnsi="宋体"/>
          <w:spacing w:val="6"/>
          <w:sz w:val="24"/>
          <w:u w:val="single"/>
        </w:rPr>
        <w:t>(中型企业、小型企业、微型企业)；</w:t>
      </w:r>
    </w:p>
    <w:p>
      <w:pPr>
        <w:spacing w:line="588" w:lineRule="exact"/>
        <w:ind w:firstLine="504" w:firstLineChars="200"/>
        <w:rPr>
          <w:rFonts w:ascii="宋体" w:hAnsi="宋体"/>
          <w:spacing w:val="6"/>
          <w:sz w:val="24"/>
        </w:rPr>
      </w:pPr>
      <w:r>
        <w:rPr>
          <w:rFonts w:hint="eastAsia" w:ascii="宋体" w:hAnsi="宋体"/>
          <w:spacing w:val="6"/>
          <w:sz w:val="24"/>
        </w:rPr>
        <w:t>2.</w:t>
      </w:r>
      <w:r>
        <w:rPr>
          <w:rFonts w:hint="eastAsia" w:ascii="宋体" w:hAnsi="宋体"/>
          <w:spacing w:val="6"/>
          <w:sz w:val="24"/>
          <w:u w:val="single"/>
        </w:rPr>
        <w:t>(标的名称)</w:t>
      </w:r>
      <w:r>
        <w:rPr>
          <w:rFonts w:hint="eastAsia" w:ascii="宋体" w:hAnsi="宋体"/>
          <w:spacing w:val="6"/>
          <w:sz w:val="24"/>
        </w:rPr>
        <w:t>,属于(采购文件中明确的所属行业)；承建(承接)企业为</w:t>
      </w:r>
      <w:r>
        <w:rPr>
          <w:rFonts w:hint="eastAsia" w:ascii="宋体" w:hAnsi="宋体"/>
          <w:spacing w:val="6"/>
          <w:sz w:val="24"/>
          <w:u w:val="single"/>
        </w:rPr>
        <w:t>(企业名称)</w:t>
      </w:r>
      <w:r>
        <w:rPr>
          <w:rFonts w:hint="eastAsia" w:ascii="宋体" w:hAnsi="宋体"/>
          <w:spacing w:val="6"/>
          <w:sz w:val="24"/>
        </w:rPr>
        <w:t>,从业人员</w:t>
      </w:r>
      <w:r>
        <w:rPr>
          <w:rFonts w:hint="eastAsia" w:ascii="宋体" w:hAnsi="宋体"/>
          <w:spacing w:val="6"/>
          <w:sz w:val="24"/>
          <w:u w:val="single"/>
        </w:rPr>
        <w:t xml:space="preserve">    </w:t>
      </w:r>
      <w:r>
        <w:rPr>
          <w:rFonts w:hint="eastAsia" w:ascii="宋体" w:hAnsi="宋体"/>
          <w:spacing w:val="6"/>
          <w:sz w:val="24"/>
        </w:rPr>
        <w:t>人,营业收入为</w:t>
      </w:r>
      <w:r>
        <w:rPr>
          <w:rFonts w:hint="eastAsia" w:ascii="宋体" w:hAnsi="宋体"/>
          <w:spacing w:val="6"/>
          <w:sz w:val="24"/>
          <w:u w:val="single"/>
        </w:rPr>
        <w:t xml:space="preserve">    </w:t>
      </w:r>
      <w:r>
        <w:rPr>
          <w:rFonts w:hint="eastAsia" w:ascii="宋体" w:hAnsi="宋体"/>
          <w:spacing w:val="6"/>
          <w:sz w:val="24"/>
        </w:rPr>
        <w:t>万元,资产总额为</w:t>
      </w:r>
      <w:r>
        <w:rPr>
          <w:rFonts w:hint="eastAsia" w:ascii="宋体" w:hAnsi="宋体"/>
          <w:spacing w:val="6"/>
          <w:sz w:val="24"/>
          <w:u w:val="single"/>
        </w:rPr>
        <w:t xml:space="preserve">    </w:t>
      </w:r>
      <w:r>
        <w:rPr>
          <w:rFonts w:hint="eastAsia" w:ascii="宋体" w:hAnsi="宋体"/>
          <w:spacing w:val="6"/>
          <w:sz w:val="24"/>
        </w:rPr>
        <w:t>万元,属于(中型企业、小型企业、微型企业；</w:t>
      </w:r>
    </w:p>
    <w:p>
      <w:pPr>
        <w:spacing w:line="588" w:lineRule="exact"/>
        <w:ind w:firstLine="504" w:firstLineChars="200"/>
        <w:rPr>
          <w:rFonts w:ascii="宋体" w:hAnsi="宋体"/>
          <w:spacing w:val="6"/>
          <w:sz w:val="24"/>
        </w:rPr>
      </w:pPr>
      <w:r>
        <w:rPr>
          <w:rFonts w:hint="eastAsia" w:ascii="宋体" w:hAnsi="宋体"/>
          <w:spacing w:val="6"/>
          <w:sz w:val="24"/>
        </w:rPr>
        <w:t>以上企业,不属于大企业的分支机构,不存在控股股东为大企业的情形,也不存在与大企业的负责人为同一人的情形。</w:t>
      </w:r>
    </w:p>
    <w:p>
      <w:pPr>
        <w:spacing w:line="588" w:lineRule="exact"/>
        <w:ind w:firstLine="504" w:firstLineChars="200"/>
        <w:rPr>
          <w:rFonts w:ascii="宋体" w:hAnsi="宋体"/>
          <w:spacing w:val="6"/>
          <w:sz w:val="24"/>
        </w:rPr>
      </w:pPr>
    </w:p>
    <w:p>
      <w:pPr>
        <w:spacing w:line="588" w:lineRule="exact"/>
        <w:ind w:firstLine="506" w:firstLineChars="200"/>
        <w:rPr>
          <w:rFonts w:ascii="宋体" w:hAnsi="宋体"/>
          <w:b/>
          <w:spacing w:val="6"/>
          <w:sz w:val="24"/>
        </w:rPr>
      </w:pPr>
      <w:r>
        <w:rPr>
          <w:rFonts w:hint="eastAsia" w:ascii="宋体" w:hAnsi="宋体"/>
          <w:b/>
          <w:spacing w:val="6"/>
          <w:sz w:val="24"/>
        </w:rPr>
        <w:t>本企业对上述声明内容的真实性负责.如有虚假,将依法承担相应责任</w:t>
      </w:r>
    </w:p>
    <w:p>
      <w:pPr>
        <w:spacing w:line="588" w:lineRule="exact"/>
        <w:ind w:firstLine="504" w:firstLineChars="200"/>
        <w:rPr>
          <w:rFonts w:ascii="宋体" w:hAnsi="宋体"/>
          <w:spacing w:val="6"/>
          <w:sz w:val="24"/>
        </w:rPr>
      </w:pPr>
    </w:p>
    <w:p>
      <w:pPr>
        <w:spacing w:line="588" w:lineRule="exact"/>
        <w:ind w:right="1008" w:firstLine="504" w:firstLineChars="200"/>
        <w:jc w:val="center"/>
        <w:rPr>
          <w:rFonts w:ascii="宋体" w:hAnsi="宋体"/>
          <w:spacing w:val="6"/>
          <w:sz w:val="24"/>
        </w:rPr>
      </w:pPr>
      <w:r>
        <w:rPr>
          <w:rFonts w:hint="eastAsia" w:ascii="宋体" w:hAnsi="宋体"/>
          <w:spacing w:val="6"/>
          <w:sz w:val="24"/>
        </w:rPr>
        <w:t xml:space="preserve">                   企业名称（盖章）： </w:t>
      </w:r>
    </w:p>
    <w:p>
      <w:pPr>
        <w:spacing w:line="588" w:lineRule="exact"/>
        <w:ind w:right="1008" w:firstLine="504" w:firstLineChars="200"/>
        <w:jc w:val="center"/>
        <w:rPr>
          <w:rFonts w:ascii="宋体" w:hAnsi="宋体"/>
          <w:spacing w:val="6"/>
          <w:sz w:val="24"/>
        </w:rPr>
      </w:pPr>
      <w:r>
        <w:rPr>
          <w:rFonts w:hint="eastAsia" w:ascii="宋体" w:hAnsi="宋体"/>
          <w:spacing w:val="6"/>
          <w:sz w:val="24"/>
        </w:rPr>
        <w:t xml:space="preserve">                             日期：</w:t>
      </w:r>
    </w:p>
    <w:p>
      <w:pPr>
        <w:spacing w:line="340" w:lineRule="exact"/>
        <w:jc w:val="center"/>
        <w:rPr>
          <w:rFonts w:ascii="宋体" w:hAnsi="宋体"/>
          <w:sz w:val="24"/>
        </w:rPr>
      </w:pPr>
    </w:p>
    <w:p>
      <w:pPr>
        <w:spacing w:line="340" w:lineRule="exact"/>
        <w:rPr>
          <w:rFonts w:ascii="宋体" w:hAnsi="宋体"/>
          <w:sz w:val="24"/>
        </w:rPr>
      </w:pPr>
    </w:p>
    <w:p>
      <w:pPr>
        <w:spacing w:line="360" w:lineRule="auto"/>
        <w:rPr>
          <w:rFonts w:ascii="宋体" w:hAnsi="宋体"/>
          <w:sz w:val="24"/>
        </w:rPr>
      </w:pPr>
      <w:r>
        <w:rPr>
          <w:rFonts w:hint="eastAsia" w:ascii="宋体" w:hAnsi="宋体"/>
          <w:b/>
          <w:sz w:val="24"/>
        </w:rPr>
        <w:t>注：</w:t>
      </w:r>
      <w:r>
        <w:rPr>
          <w:rFonts w:hint="eastAsia" w:ascii="宋体" w:hAnsi="宋体"/>
          <w:b/>
          <w:spacing w:val="6"/>
          <w:sz w:val="24"/>
        </w:rPr>
        <w:t>从业人员、营业收入、资产总额填报上一年度数据，无上一年度数据的新成立企业可不填报</w:t>
      </w:r>
    </w:p>
    <w:p>
      <w:pPr>
        <w:spacing w:line="340" w:lineRule="exact"/>
        <w:rPr>
          <w:rFonts w:ascii="宋体" w:hAnsi="宋体"/>
          <w:b/>
          <w:sz w:val="30"/>
          <w:szCs w:val="30"/>
        </w:rPr>
      </w:pPr>
    </w:p>
    <w:p>
      <w:pPr>
        <w:spacing w:line="588" w:lineRule="exact"/>
        <w:jc w:val="center"/>
        <w:rPr>
          <w:rFonts w:ascii="宋体" w:hAnsi="宋体"/>
          <w:b/>
          <w:spacing w:val="6"/>
          <w:sz w:val="30"/>
          <w:szCs w:val="30"/>
        </w:rPr>
      </w:pPr>
    </w:p>
    <w:p>
      <w:pPr>
        <w:spacing w:line="588" w:lineRule="exact"/>
        <w:jc w:val="center"/>
        <w:rPr>
          <w:rFonts w:ascii="宋体" w:hAnsi="宋体"/>
          <w:b/>
          <w:spacing w:val="6"/>
          <w:sz w:val="30"/>
          <w:szCs w:val="30"/>
        </w:rPr>
      </w:pPr>
    </w:p>
    <w:p>
      <w:pPr>
        <w:spacing w:line="588" w:lineRule="exact"/>
        <w:jc w:val="center"/>
        <w:rPr>
          <w:rFonts w:ascii="宋体" w:hAnsi="宋体"/>
          <w:b/>
          <w:spacing w:val="6"/>
          <w:sz w:val="30"/>
          <w:szCs w:val="30"/>
        </w:rPr>
      </w:pPr>
      <w:r>
        <w:rPr>
          <w:rFonts w:hint="eastAsia" w:ascii="宋体" w:hAnsi="宋体"/>
          <w:b/>
          <w:spacing w:val="6"/>
          <w:sz w:val="30"/>
          <w:szCs w:val="30"/>
        </w:rPr>
        <w:t>残疾人福利性单位声明函（如有）</w:t>
      </w:r>
    </w:p>
    <w:p>
      <w:pPr>
        <w:spacing w:line="588" w:lineRule="exact"/>
        <w:rPr>
          <w:rFonts w:ascii="宋体" w:hAnsi="宋体"/>
          <w:b/>
          <w:spacing w:val="6"/>
          <w:sz w:val="28"/>
          <w:szCs w:val="28"/>
        </w:rPr>
      </w:pPr>
    </w:p>
    <w:p>
      <w:pPr>
        <w:spacing w:line="588" w:lineRule="exact"/>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pacing w:val="6"/>
          <w:sz w:val="24"/>
          <w:u w:val="single"/>
        </w:rPr>
        <w:t>（招标人名称）</w:t>
      </w:r>
      <w:r>
        <w:rPr>
          <w:rFonts w:hint="eastAsia" w:ascii="宋体" w:hAnsi="宋体"/>
          <w:spacing w:val="6"/>
          <w:sz w:val="24"/>
        </w:rPr>
        <w:t>的</w:t>
      </w:r>
      <w:r>
        <w:rPr>
          <w:rFonts w:hint="eastAsia" w:ascii="宋体" w:hAnsi="宋体"/>
          <w:spacing w:val="6"/>
          <w:sz w:val="24"/>
          <w:u w:val="single"/>
        </w:rPr>
        <w:t>_     _</w:t>
      </w:r>
      <w:r>
        <w:rPr>
          <w:rFonts w:hint="eastAsia" w:ascii="宋体" w:hAnsi="宋体"/>
          <w:spacing w:val="6"/>
          <w:sz w:val="24"/>
        </w:rPr>
        <w:t>项目（项目编号</w:t>
      </w:r>
      <w:r>
        <w:rPr>
          <w:rFonts w:hint="eastAsia" w:ascii="宋体" w:hAnsi="宋体"/>
          <w:spacing w:val="6"/>
          <w:sz w:val="24"/>
          <w:u w:val="single"/>
        </w:rPr>
        <w:t xml:space="preserve">     </w:t>
      </w:r>
      <w:r>
        <w:rPr>
          <w:rFonts w:hint="eastAsia" w:ascii="宋体" w:hAnsi="宋体"/>
          <w:spacing w:val="6"/>
          <w:sz w:val="24"/>
        </w:rPr>
        <w:t>）采购活动提供本单位制造的货物，或者提供其他残疾人福利性单位制造的货物（不包括使用非残疾人福利性单位注册商标的货物）。</w:t>
      </w:r>
    </w:p>
    <w:p>
      <w:pPr>
        <w:spacing w:line="588" w:lineRule="exact"/>
        <w:ind w:firstLine="506" w:firstLineChars="200"/>
        <w:rPr>
          <w:rFonts w:ascii="宋体" w:hAnsi="宋体"/>
          <w:b/>
          <w:spacing w:val="6"/>
          <w:sz w:val="24"/>
        </w:rPr>
      </w:pPr>
      <w:r>
        <w:rPr>
          <w:rFonts w:hint="eastAsia" w:ascii="宋体" w:hAnsi="宋体"/>
          <w:b/>
          <w:spacing w:val="6"/>
          <w:sz w:val="24"/>
        </w:rPr>
        <w:t>本单位对上述声明的真实性负责。如有虚假，将依法承担相应责任。</w:t>
      </w:r>
    </w:p>
    <w:p>
      <w:pPr>
        <w:spacing w:line="588" w:lineRule="exact"/>
        <w:ind w:firstLine="504" w:firstLineChars="200"/>
        <w:rPr>
          <w:rFonts w:ascii="宋体" w:hAnsi="宋体"/>
          <w:spacing w:val="6"/>
          <w:sz w:val="24"/>
        </w:rPr>
      </w:pPr>
    </w:p>
    <w:p>
      <w:pPr>
        <w:spacing w:line="588" w:lineRule="exact"/>
        <w:ind w:firstLine="504" w:firstLineChars="200"/>
        <w:rPr>
          <w:rFonts w:ascii="宋体" w:hAnsi="宋体"/>
          <w:spacing w:val="6"/>
          <w:sz w:val="24"/>
        </w:rPr>
      </w:pPr>
    </w:p>
    <w:p>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 </w:t>
      </w:r>
    </w:p>
    <w:p>
      <w:pPr>
        <w:spacing w:line="340" w:lineRule="exact"/>
        <w:rPr>
          <w:rFonts w:ascii="宋体" w:hAnsi="宋体"/>
          <w:spacing w:val="6"/>
          <w:sz w:val="24"/>
        </w:rPr>
      </w:pPr>
      <w:r>
        <w:rPr>
          <w:rFonts w:hint="eastAsia" w:ascii="宋体" w:hAnsi="宋体"/>
          <w:spacing w:val="6"/>
          <w:sz w:val="24"/>
        </w:rPr>
        <w:t xml:space="preserve">                          </w:t>
      </w:r>
    </w:p>
    <w:p>
      <w:pPr>
        <w:spacing w:line="340" w:lineRule="exact"/>
        <w:ind w:firstLine="4158" w:firstLineChars="1650"/>
        <w:rPr>
          <w:rFonts w:ascii="宋体" w:hAnsi="宋体"/>
          <w:sz w:val="24"/>
          <w:u w:val="single"/>
        </w:rPr>
      </w:pPr>
      <w:r>
        <w:rPr>
          <w:rFonts w:hint="eastAsia" w:ascii="宋体" w:hAnsi="宋体"/>
          <w:spacing w:val="6"/>
          <w:sz w:val="24"/>
        </w:rPr>
        <w:t xml:space="preserve">日  期：                </w:t>
      </w:r>
    </w:p>
    <w:p>
      <w:pPr>
        <w:spacing w:before="120" w:line="360" w:lineRule="auto"/>
        <w:rPr>
          <w:rFonts w:ascii="宋体" w:hAnsi="宋体"/>
          <w:spacing w:val="6"/>
          <w:sz w:val="24"/>
        </w:rPr>
      </w:pPr>
    </w:p>
    <w:p>
      <w:pPr>
        <w:spacing w:line="360" w:lineRule="auto"/>
        <w:rPr>
          <w:rFonts w:ascii="宋体" w:hAnsi="宋体"/>
          <w:szCs w:val="21"/>
        </w:rPr>
      </w:pPr>
      <w:r>
        <w:rPr>
          <w:rFonts w:hint="eastAsia" w:ascii="宋体" w:hAnsi="宋体"/>
          <w:szCs w:val="21"/>
        </w:rPr>
        <w:t>注：1.中标、成交供应商为残疾人福利性单位且评审中享受了残疾人福利性单位相关政府采购支持政策的，其《残疾人福利性单位声明函》将在中标、中选公示中公告，接受社会监督。</w:t>
      </w:r>
    </w:p>
    <w:p>
      <w:pPr>
        <w:spacing w:line="340" w:lineRule="exact"/>
        <w:rPr>
          <w:rFonts w:ascii="宋体" w:hAnsi="宋体"/>
          <w:b/>
          <w:sz w:val="30"/>
          <w:szCs w:val="30"/>
        </w:rPr>
      </w:pPr>
      <w:r>
        <w:rPr>
          <w:rFonts w:hint="eastAsia" w:ascii="宋体" w:hAnsi="宋体"/>
          <w:szCs w:val="21"/>
        </w:rPr>
        <w:t>2、供应商提供的《残疾人福利性单位声明函》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40" w:lineRule="exact"/>
        <w:jc w:val="center"/>
        <w:rPr>
          <w:rFonts w:ascii="宋体" w:hAnsi="宋体"/>
          <w:b/>
          <w:sz w:val="30"/>
          <w:szCs w:val="30"/>
        </w:rPr>
      </w:pPr>
    </w:p>
    <w:p>
      <w:pPr>
        <w:spacing w:line="340" w:lineRule="exact"/>
        <w:jc w:val="center"/>
        <w:rPr>
          <w:rFonts w:ascii="宋体" w:hAnsi="宋体"/>
          <w:b/>
          <w:sz w:val="30"/>
          <w:szCs w:val="30"/>
        </w:rPr>
      </w:pPr>
    </w:p>
    <w:p>
      <w:pPr>
        <w:spacing w:line="340" w:lineRule="exact"/>
        <w:jc w:val="center"/>
        <w:rPr>
          <w:rFonts w:ascii="宋体" w:hAnsi="宋体"/>
          <w:b/>
          <w:sz w:val="30"/>
          <w:szCs w:val="30"/>
        </w:rPr>
      </w:pPr>
    </w:p>
    <w:p>
      <w:pPr>
        <w:spacing w:line="340" w:lineRule="exact"/>
        <w:jc w:val="center"/>
        <w:rPr>
          <w:rFonts w:ascii="宋体" w:hAnsi="宋体"/>
          <w:b/>
          <w:sz w:val="30"/>
          <w:szCs w:val="30"/>
        </w:rPr>
      </w:pPr>
    </w:p>
    <w:p>
      <w:pPr>
        <w:spacing w:line="340" w:lineRule="exact"/>
        <w:jc w:val="center"/>
        <w:rPr>
          <w:rFonts w:ascii="宋体" w:hAnsi="宋体"/>
          <w:b/>
          <w:sz w:val="30"/>
          <w:szCs w:val="30"/>
        </w:rPr>
      </w:pPr>
    </w:p>
    <w:p>
      <w:pPr>
        <w:spacing w:line="340" w:lineRule="exact"/>
        <w:jc w:val="center"/>
        <w:rPr>
          <w:rFonts w:ascii="宋体" w:hAnsi="宋体"/>
          <w:b/>
          <w:sz w:val="30"/>
          <w:szCs w:val="30"/>
        </w:rPr>
      </w:pPr>
    </w:p>
    <w:p>
      <w:pPr>
        <w:spacing w:line="340" w:lineRule="exact"/>
        <w:jc w:val="center"/>
        <w:rPr>
          <w:rFonts w:ascii="宋体" w:hAnsi="宋体"/>
          <w:b/>
          <w:sz w:val="30"/>
          <w:szCs w:val="30"/>
        </w:rPr>
      </w:pPr>
    </w:p>
    <w:p>
      <w:pPr>
        <w:spacing w:line="340" w:lineRule="exact"/>
        <w:jc w:val="center"/>
        <w:rPr>
          <w:rFonts w:ascii="宋体" w:hAnsi="宋体"/>
          <w:b/>
          <w:sz w:val="30"/>
          <w:szCs w:val="30"/>
        </w:rPr>
      </w:pPr>
    </w:p>
    <w:p>
      <w:pPr>
        <w:spacing w:line="340" w:lineRule="exact"/>
        <w:jc w:val="center"/>
        <w:rPr>
          <w:rFonts w:ascii="宋体" w:hAnsi="宋体"/>
          <w:b/>
          <w:sz w:val="30"/>
          <w:szCs w:val="30"/>
        </w:rPr>
      </w:pPr>
    </w:p>
    <w:p>
      <w:pPr>
        <w:spacing w:line="340" w:lineRule="exact"/>
        <w:jc w:val="center"/>
        <w:rPr>
          <w:rFonts w:ascii="宋体" w:hAnsi="宋体"/>
          <w:b/>
          <w:sz w:val="30"/>
          <w:szCs w:val="30"/>
        </w:rPr>
      </w:pPr>
    </w:p>
    <w:p>
      <w:pPr>
        <w:spacing w:line="340" w:lineRule="exact"/>
        <w:jc w:val="center"/>
        <w:rPr>
          <w:rFonts w:ascii="宋体" w:hAnsi="宋体"/>
          <w:b/>
          <w:sz w:val="30"/>
          <w:szCs w:val="30"/>
        </w:rPr>
      </w:pPr>
    </w:p>
    <w:p>
      <w:pPr>
        <w:spacing w:line="340" w:lineRule="exact"/>
        <w:jc w:val="center"/>
        <w:rPr>
          <w:rFonts w:ascii="宋体" w:hAnsi="宋体"/>
          <w:b/>
          <w:sz w:val="30"/>
          <w:szCs w:val="30"/>
        </w:rPr>
      </w:pPr>
    </w:p>
    <w:p>
      <w:pPr>
        <w:spacing w:line="588" w:lineRule="exact"/>
        <w:jc w:val="center"/>
        <w:rPr>
          <w:rFonts w:ascii="宋体" w:hAnsi="宋体"/>
          <w:b/>
          <w:spacing w:val="6"/>
          <w:sz w:val="30"/>
          <w:szCs w:val="30"/>
        </w:rPr>
      </w:pPr>
      <w:r>
        <w:rPr>
          <w:rFonts w:hint="eastAsia" w:ascii="宋体" w:hAnsi="宋体"/>
          <w:b/>
          <w:bCs/>
          <w:spacing w:val="6"/>
          <w:sz w:val="30"/>
          <w:szCs w:val="30"/>
        </w:rPr>
        <w:t>提供由省级以上监狱管理局、戒毒管理局(含新疆生产建设兵团)出具的属于监狱企业的证明文件（如有）</w:t>
      </w: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rPr>
          <w:rFonts w:ascii="宋体" w:hAnsi="宋体"/>
          <w:sz w:val="36"/>
          <w:szCs w:val="36"/>
        </w:rPr>
      </w:pPr>
      <w:r>
        <w:rPr>
          <w:rFonts w:hint="eastAsia"/>
        </w:rPr>
        <w:t>注：未提供“由省级以上监狱管理局、戒毒管理局(含新疆生产建设兵团)出具的属于监狱企业的证明文件”的，评标时不对残疾人福利性单位产品报价给予一定比例扣除。</w:t>
      </w: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spacing w:line="360" w:lineRule="auto"/>
        <w:ind w:firstLine="540" w:firstLineChars="150"/>
        <w:jc w:val="center"/>
        <w:rPr>
          <w:rFonts w:ascii="宋体" w:hAnsi="宋体"/>
          <w:sz w:val="36"/>
          <w:szCs w:val="36"/>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pPr>
        <w:spacing w:line="360" w:lineRule="auto"/>
        <w:ind w:firstLine="480" w:firstLineChars="200"/>
        <w:jc w:val="left"/>
        <w:outlineLvl w:val="2"/>
        <w:rPr>
          <w:rFonts w:asciiTheme="minorEastAsia" w:hAnsiTheme="minorEastAsia" w:cstheme="minorEastAsia"/>
          <w:b/>
          <w:bCs/>
          <w:sz w:val="28"/>
          <w:szCs w:val="28"/>
        </w:rPr>
      </w:pPr>
      <w:r>
        <w:rPr>
          <w:rFonts w:hint="eastAsia" w:ascii="宋体" w:hAnsi="宋体"/>
          <w:sz w:val="24"/>
        </w:rPr>
        <w:t>附表4</w:t>
      </w:r>
    </w:p>
    <w:p>
      <w:pPr>
        <w:spacing w:line="360" w:lineRule="auto"/>
        <w:ind w:firstLine="562" w:firstLineChars="200"/>
        <w:jc w:val="center"/>
        <w:outlineLvl w:val="2"/>
        <w:rPr>
          <w:rFonts w:asciiTheme="minorEastAsia" w:hAnsiTheme="minorEastAsia" w:eastAsiaTheme="minorEastAsia" w:cstheme="minorEastAsia"/>
          <w:b/>
          <w:bCs/>
          <w:sz w:val="28"/>
          <w:szCs w:val="28"/>
        </w:rPr>
      </w:pPr>
    </w:p>
    <w:p>
      <w:pPr>
        <w:spacing w:line="360" w:lineRule="auto"/>
        <w:ind w:firstLine="562" w:firstLineChars="200"/>
        <w:jc w:val="center"/>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无重大违法记录声明</w:t>
      </w:r>
    </w:p>
    <w:p>
      <w:pPr>
        <w:spacing w:before="156" w:beforeLines="50" w:after="156" w:afterLines="50" w:line="400" w:lineRule="exact"/>
        <w:ind w:right="630" w:rightChars="300"/>
        <w:rPr>
          <w:rFonts w:asciiTheme="minorEastAsia" w:hAnsiTheme="minorEastAsia" w:eastAsiaTheme="minorEastAsia" w:cstheme="minorEastAsia"/>
          <w:sz w:val="24"/>
          <w:szCs w:val="22"/>
        </w:rPr>
      </w:pPr>
    </w:p>
    <w:p>
      <w:pPr>
        <w:snapToGrid w:val="0"/>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（代理机构名称）：</w:t>
      </w:r>
    </w:p>
    <w:p>
      <w:pPr>
        <w:snapToGrid w:val="0"/>
        <w:spacing w:before="156" w:beforeLines="50" w:after="156" w:afterLines="50"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我单位在参加政府采购项目（项目名称：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）前3年内在经营活动中没有重大违法记录。</w:t>
      </w:r>
    </w:p>
    <w:p>
      <w:pPr>
        <w:snapToGrid w:val="0"/>
        <w:spacing w:before="156" w:beforeLines="50" w:after="156" w:afterLines="50"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特此声明。</w:t>
      </w:r>
    </w:p>
    <w:p>
      <w:pPr>
        <w:wordWrap w:val="0"/>
        <w:spacing w:line="360" w:lineRule="auto"/>
        <w:ind w:firstLine="560" w:firstLineChars="200"/>
        <w:jc w:val="left"/>
        <w:rPr>
          <w:rFonts w:asciiTheme="minorEastAsia" w:hAnsiTheme="minorEastAsia" w:eastAsiaTheme="minorEastAsia" w:cstheme="minorEastAsia"/>
          <w:sz w:val="28"/>
          <w:szCs w:val="28"/>
        </w:rPr>
      </w:pPr>
    </w:p>
    <w:p>
      <w:pPr>
        <w:wordWrap w:val="0"/>
        <w:spacing w:line="360" w:lineRule="auto"/>
        <w:jc w:val="left"/>
        <w:rPr>
          <w:rFonts w:asciiTheme="minorEastAsia" w:hAnsiTheme="minorEastAsia" w:eastAsiaTheme="minorEastAsia" w:cstheme="minorEastAsia"/>
          <w:sz w:val="28"/>
          <w:szCs w:val="28"/>
        </w:rPr>
      </w:pPr>
    </w:p>
    <w:p>
      <w:pPr>
        <w:wordWrap w:val="0"/>
        <w:spacing w:line="360" w:lineRule="auto"/>
        <w:ind w:firstLine="560" w:firstLineChars="200"/>
        <w:jc w:val="left"/>
        <w:rPr>
          <w:rFonts w:asciiTheme="minorEastAsia" w:hAnsiTheme="minorEastAsia" w:eastAsiaTheme="minorEastAsia" w:cstheme="minorEastAsia"/>
          <w:sz w:val="28"/>
          <w:szCs w:val="28"/>
        </w:rPr>
      </w:pPr>
    </w:p>
    <w:p>
      <w:pPr>
        <w:wordWrap w:val="0"/>
        <w:spacing w:line="360" w:lineRule="auto"/>
        <w:ind w:firstLine="560" w:firstLineChars="200"/>
        <w:jc w:val="left"/>
        <w:rPr>
          <w:rFonts w:asciiTheme="minorEastAsia" w:hAnsiTheme="minorEastAsia" w:eastAsiaTheme="minorEastAsia" w:cstheme="minorEastAsia"/>
          <w:sz w:val="28"/>
          <w:szCs w:val="28"/>
        </w:rPr>
      </w:pPr>
    </w:p>
    <w:p>
      <w:pPr>
        <w:spacing w:line="360" w:lineRule="exact"/>
        <w:ind w:left="1050" w:leftChars="500" w:right="1050" w:rightChars="500" w:firstLine="560" w:firstLineChars="200"/>
        <w:rPr>
          <w:rFonts w:asciiTheme="minorEastAsia" w:hAnsiTheme="minorEastAsia" w:eastAsiaTheme="minorEastAsia" w:cstheme="minorEastAsia"/>
          <w:sz w:val="28"/>
          <w:szCs w:val="28"/>
        </w:rPr>
      </w:pPr>
    </w:p>
    <w:p>
      <w:pPr>
        <w:spacing w:line="360" w:lineRule="exact"/>
        <w:ind w:right="1050" w:rightChars="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供应商名称：  （加盖公章） </w:t>
      </w:r>
    </w:p>
    <w:p>
      <w:pPr>
        <w:spacing w:line="360" w:lineRule="exact"/>
        <w:ind w:left="3360" w:leftChars="1600" w:right="1050" w:rightChars="500" w:firstLine="480" w:firstLineChars="200"/>
        <w:rPr>
          <w:rFonts w:asciiTheme="minorEastAsia" w:hAnsiTheme="minorEastAsia" w:eastAsiaTheme="minorEastAsia" w:cstheme="minorEastAsia"/>
          <w:sz w:val="24"/>
        </w:rPr>
      </w:pPr>
    </w:p>
    <w:p>
      <w:pPr>
        <w:spacing w:line="360" w:lineRule="exact"/>
        <w:ind w:right="1050" w:rightChars="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法定代表人或其授权代表人： (签字或盖章) </w:t>
      </w:r>
    </w:p>
    <w:p>
      <w:pPr>
        <w:spacing w:line="360" w:lineRule="exact"/>
        <w:ind w:left="3360" w:leftChars="1600" w:right="1050" w:rightChars="500" w:firstLine="480" w:firstLineChars="200"/>
        <w:rPr>
          <w:rFonts w:asciiTheme="minorEastAsia" w:hAnsiTheme="minorEastAsia" w:eastAsiaTheme="minorEastAsia" w:cstheme="minorEastAsia"/>
          <w:sz w:val="24"/>
        </w:rPr>
      </w:pPr>
    </w:p>
    <w:p>
      <w:pPr>
        <w:spacing w:line="360" w:lineRule="auto"/>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年      月      日 </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spacing w:line="360" w:lineRule="auto"/>
        <w:ind w:firstLine="360" w:firstLineChars="150"/>
        <w:jc w:val="center"/>
        <w:rPr>
          <w:rFonts w:asciiTheme="minorEastAsia" w:hAnsiTheme="minorEastAsia" w:eastAsiaTheme="minorEastAsia" w:cstheme="minorEastAsia"/>
          <w:sz w:val="24"/>
        </w:rPr>
      </w:pPr>
    </w:p>
    <w:p>
      <w:pPr>
        <w:jc w:val="center"/>
        <w:outlineLvl w:val="1"/>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sz w:val="24"/>
        </w:rPr>
        <w:t xml:space="preserve"> </w:t>
      </w:r>
      <w:r>
        <w:rPr>
          <w:rFonts w:hint="eastAsia" w:ascii="宋体" w:hAnsi="宋体"/>
          <w:sz w:val="36"/>
          <w:szCs w:val="36"/>
        </w:rPr>
        <w:t>五、项目实施及管理方案</w:t>
      </w:r>
    </w:p>
    <w:p>
      <w:pPr>
        <w:spacing w:line="360"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（格式自拟）</w:t>
      </w:r>
    </w:p>
    <w:p>
      <w:pPr>
        <w:jc w:val="center"/>
        <w:outlineLvl w:val="1"/>
        <w:rPr>
          <w:rFonts w:ascii="宋体" w:hAnsi="宋体" w:eastAsiaTheme="minorEastAsia"/>
          <w:sz w:val="36"/>
          <w:szCs w:val="36"/>
        </w:rPr>
      </w:pPr>
      <w:r>
        <w:rPr>
          <w:rFonts w:hint="eastAsia" w:ascii="宋体" w:hAnsi="宋体" w:eastAsiaTheme="minorEastAsia"/>
          <w:sz w:val="36"/>
          <w:szCs w:val="36"/>
        </w:rPr>
        <w:t xml:space="preserve"> </w:t>
      </w:r>
    </w:p>
    <w:p>
      <w:pPr>
        <w:rPr>
          <w:rFonts w:ascii="宋体" w:hAnsi="宋体" w:eastAsiaTheme="minorEastAsia"/>
          <w:sz w:val="36"/>
          <w:szCs w:val="36"/>
        </w:rPr>
      </w:pPr>
      <w:r>
        <w:rPr>
          <w:rFonts w:hint="eastAsia" w:ascii="宋体" w:hAnsi="宋体" w:eastAsiaTheme="minorEastAsia"/>
          <w:sz w:val="36"/>
          <w:szCs w:val="36"/>
        </w:rPr>
        <w:br w:type="page"/>
      </w:r>
    </w:p>
    <w:p>
      <w:pPr>
        <w:jc w:val="center"/>
        <w:outlineLvl w:val="1"/>
        <w:rPr>
          <w:rFonts w:ascii="宋体" w:hAnsi="宋体" w:eastAsiaTheme="minorEastAsia"/>
          <w:sz w:val="36"/>
          <w:szCs w:val="36"/>
        </w:rPr>
      </w:pPr>
    </w:p>
    <w:p>
      <w:pPr>
        <w:jc w:val="center"/>
        <w:outlineLvl w:val="1"/>
        <w:rPr>
          <w:rFonts w:asciiTheme="minorEastAsia" w:hAnsiTheme="minorEastAsia" w:eastAsiaTheme="minorEastAsia" w:cstheme="minorEastAsia"/>
          <w:b/>
          <w:bCs/>
          <w:sz w:val="30"/>
          <w:szCs w:val="30"/>
        </w:rPr>
      </w:pPr>
      <w:r>
        <w:rPr>
          <w:rFonts w:hint="eastAsia" w:ascii="宋体" w:hAnsi="宋体" w:eastAsiaTheme="minorEastAsia"/>
          <w:sz w:val="36"/>
          <w:szCs w:val="36"/>
        </w:rPr>
        <w:t>六、对本项目实施过程中重点、难点的认识及解决方案</w:t>
      </w:r>
    </w:p>
    <w:p>
      <w:pPr>
        <w:spacing w:line="360"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（格式自拟）</w:t>
      </w:r>
    </w:p>
    <w:p>
      <w:pPr>
        <w:jc w:val="center"/>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jc w:val="center"/>
        <w:outlineLvl w:val="1"/>
        <w:rPr>
          <w:rFonts w:ascii="宋体" w:hAnsi="宋体" w:eastAsiaTheme="minorEastAsia"/>
          <w:sz w:val="36"/>
          <w:szCs w:val="36"/>
        </w:rPr>
      </w:pPr>
    </w:p>
    <w:p>
      <w:pPr>
        <w:jc w:val="center"/>
        <w:outlineLvl w:val="1"/>
        <w:rPr>
          <w:rFonts w:ascii="宋体" w:hAnsi="宋体" w:eastAsiaTheme="minorEastAsia"/>
          <w:sz w:val="36"/>
          <w:szCs w:val="36"/>
        </w:rPr>
      </w:pPr>
      <w:r>
        <w:rPr>
          <w:rFonts w:hint="eastAsia" w:ascii="宋体" w:hAnsi="宋体" w:eastAsiaTheme="minorEastAsia"/>
          <w:sz w:val="36"/>
          <w:szCs w:val="36"/>
        </w:rPr>
        <w:t>七、应急预案</w:t>
      </w:r>
    </w:p>
    <w:p>
      <w:pPr>
        <w:spacing w:line="360"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（格式自拟）</w:t>
      </w:r>
    </w:p>
    <w:p>
      <w:pPr>
        <w:spacing w:line="360" w:lineRule="auto"/>
        <w:ind w:firstLine="360" w:firstLineChars="150"/>
        <w:rPr>
          <w:rFonts w:ascii="宋体" w:hAnsi="宋体"/>
          <w:sz w:val="24"/>
        </w:rPr>
      </w:pPr>
    </w:p>
    <w:p>
      <w:pPr>
        <w:spacing w:line="360" w:lineRule="auto"/>
        <w:ind w:firstLine="360" w:firstLineChars="150"/>
        <w:rPr>
          <w:rFonts w:ascii="宋体" w:hAnsi="宋体"/>
          <w:sz w:val="24"/>
        </w:rPr>
      </w:pPr>
    </w:p>
    <w:p>
      <w:pPr>
        <w:spacing w:line="360" w:lineRule="auto"/>
        <w:ind w:firstLine="360" w:firstLineChars="150"/>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spacing w:line="360" w:lineRule="exact"/>
        <w:ind w:right="1050" w:rightChars="500" w:firstLine="3360" w:firstLineChars="1200"/>
        <w:rPr>
          <w:rFonts w:cs="宋体"/>
          <w:sz w:val="28"/>
          <w:szCs w:val="28"/>
        </w:rPr>
      </w:pPr>
    </w:p>
    <w:p>
      <w:pPr>
        <w:spacing w:line="360" w:lineRule="auto"/>
        <w:rPr>
          <w:rFonts w:ascii="宋体" w:hAnsi="宋体"/>
          <w:sz w:val="24"/>
        </w:rPr>
      </w:pPr>
      <w:r>
        <w:rPr>
          <w:rFonts w:ascii="宋体" w:hAnsi="宋体"/>
          <w:sz w:val="24"/>
        </w:rPr>
        <w:br w:type="page"/>
      </w:r>
    </w:p>
    <w:p>
      <w:pPr>
        <w:spacing w:line="360" w:lineRule="auto"/>
        <w:jc w:val="center"/>
        <w:outlineLvl w:val="2"/>
        <w:rPr>
          <w:rFonts w:ascii="宋体" w:hAnsi="宋体" w:cs="宋体"/>
          <w:b/>
          <w:spacing w:val="6"/>
          <w:sz w:val="28"/>
          <w:szCs w:val="28"/>
        </w:rPr>
      </w:pPr>
      <w:bookmarkStart w:id="45" w:name="_Toc874"/>
    </w:p>
    <w:p>
      <w:pPr>
        <w:jc w:val="center"/>
        <w:outlineLvl w:val="1"/>
        <w:rPr>
          <w:rFonts w:ascii="宋体" w:hAnsi="宋体" w:eastAsiaTheme="minorEastAsia"/>
          <w:sz w:val="36"/>
          <w:szCs w:val="36"/>
        </w:rPr>
      </w:pPr>
      <w:r>
        <w:rPr>
          <w:rFonts w:hint="eastAsia" w:ascii="宋体" w:hAnsi="宋体" w:eastAsiaTheme="minorEastAsia"/>
          <w:sz w:val="36"/>
          <w:szCs w:val="36"/>
        </w:rPr>
        <w:t>八、人员配备情况</w:t>
      </w:r>
      <w:bookmarkEnd w:id="45"/>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326"/>
        <w:gridCol w:w="1354"/>
        <w:gridCol w:w="1748"/>
        <w:gridCol w:w="1166"/>
        <w:gridCol w:w="1436"/>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序号</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姓名</w:t>
            </w:r>
          </w:p>
        </w:tc>
        <w:tc>
          <w:tcPr>
            <w:tcW w:w="1354" w:type="dxa"/>
            <w:tcBorders>
              <w:top w:val="single" w:color="auto" w:sz="4" w:space="0"/>
              <w:left w:val="nil"/>
              <w:bottom w:val="single" w:color="auto" w:sz="4" w:space="0"/>
              <w:right w:val="single" w:color="auto" w:sz="4" w:space="0"/>
            </w:tcBorders>
            <w:vAlign w:val="center"/>
          </w:tcPr>
          <w:p>
            <w:pPr>
              <w:topLinePunct/>
              <w:spacing w:line="360" w:lineRule="auto"/>
              <w:rPr>
                <w:rFonts w:ascii="宋体" w:hAnsi="宋体" w:cs="宋体"/>
                <w:b/>
                <w:bCs/>
                <w:szCs w:val="21"/>
              </w:rPr>
            </w:pPr>
            <w:r>
              <w:rPr>
                <w:rFonts w:hint="eastAsia" w:ascii="宋体" w:hAnsi="宋体" w:cs="宋体"/>
                <w:b/>
                <w:bCs/>
                <w:szCs w:val="21"/>
              </w:rPr>
              <w:t>学历或职称</w:t>
            </w: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执（职业）资格</w:t>
            </w:r>
          </w:p>
        </w:tc>
        <w:tc>
          <w:tcPr>
            <w:tcW w:w="1166" w:type="dxa"/>
            <w:tcBorders>
              <w:top w:val="single" w:color="auto" w:sz="4" w:space="0"/>
              <w:left w:val="nil"/>
              <w:bottom w:val="single" w:color="auto" w:sz="4" w:space="0"/>
              <w:right w:val="single" w:color="auto" w:sz="4" w:space="0"/>
            </w:tcBorders>
            <w:vAlign w:val="center"/>
          </w:tcPr>
          <w:p>
            <w:pPr>
              <w:rPr>
                <w:rFonts w:ascii="宋体" w:hAnsi="宋体" w:cs="宋体"/>
                <w:b/>
                <w:bCs/>
                <w:szCs w:val="21"/>
              </w:rPr>
            </w:pPr>
            <w:r>
              <w:rPr>
                <w:rFonts w:hint="eastAsia" w:ascii="宋体" w:hAnsi="宋体" w:cs="宋体"/>
                <w:b/>
                <w:bCs/>
                <w:szCs w:val="21"/>
              </w:rPr>
              <w:t>身份证号</w:t>
            </w:r>
          </w:p>
        </w:tc>
        <w:tc>
          <w:tcPr>
            <w:tcW w:w="1436" w:type="dxa"/>
            <w:tcBorders>
              <w:top w:val="single" w:color="auto" w:sz="4" w:space="0"/>
              <w:left w:val="nil"/>
              <w:bottom w:val="single" w:color="auto" w:sz="4" w:space="0"/>
              <w:right w:val="single" w:color="auto" w:sz="4" w:space="0"/>
            </w:tcBorders>
            <w:vAlign w:val="center"/>
          </w:tcPr>
          <w:p>
            <w:pPr>
              <w:topLinePunct/>
              <w:spacing w:before="4" w:line="360" w:lineRule="auto"/>
              <w:jc w:val="center"/>
              <w:rPr>
                <w:rFonts w:ascii="宋体" w:hAnsi="宋体" w:cs="宋体"/>
                <w:b/>
                <w:bCs/>
                <w:szCs w:val="21"/>
              </w:rPr>
            </w:pPr>
            <w:r>
              <w:rPr>
                <w:rFonts w:hint="eastAsia" w:ascii="宋体" w:hAnsi="宋体" w:cs="宋体"/>
                <w:b/>
                <w:bCs/>
                <w:szCs w:val="21"/>
              </w:rPr>
              <w:t>联系电话</w:t>
            </w:r>
          </w:p>
        </w:tc>
        <w:tc>
          <w:tcPr>
            <w:tcW w:w="1578" w:type="dxa"/>
            <w:tcBorders>
              <w:top w:val="single" w:color="auto" w:sz="4" w:space="0"/>
              <w:left w:val="nil"/>
              <w:bottom w:val="single" w:color="auto" w:sz="4" w:space="0"/>
              <w:right w:val="single" w:color="auto" w:sz="4" w:space="0"/>
            </w:tcBorders>
            <w:vAlign w:val="center"/>
          </w:tcPr>
          <w:p>
            <w:pPr>
              <w:topLinePunct/>
              <w:spacing w:before="4" w:line="360" w:lineRule="auto"/>
              <w:jc w:val="center"/>
              <w:rPr>
                <w:rFonts w:ascii="宋体" w:hAnsi="宋体" w:cs="宋体"/>
                <w:b/>
                <w:bCs/>
                <w:szCs w:val="21"/>
              </w:rPr>
            </w:pPr>
            <w:r>
              <w:rPr>
                <w:rFonts w:hint="eastAsia" w:ascii="宋体" w:hAnsi="宋体" w:cs="宋体"/>
                <w:b/>
                <w:bCs/>
                <w:szCs w:val="21"/>
              </w:rPr>
              <w:t>在本项目中</w:t>
            </w:r>
          </w:p>
          <w:p>
            <w:pPr>
              <w:jc w:val="center"/>
              <w:rPr>
                <w:rFonts w:ascii="宋体" w:hAnsi="宋体" w:cs="宋体"/>
                <w:b/>
                <w:bCs/>
                <w:szCs w:val="21"/>
              </w:rPr>
            </w:pPr>
            <w:r>
              <w:rPr>
                <w:rFonts w:hint="eastAsia" w:ascii="宋体" w:hAnsi="宋体" w:cs="宋体"/>
                <w:b/>
                <w:bCs/>
                <w:szCs w:val="21"/>
              </w:rPr>
              <w:t>担任的职务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7</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8</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10</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12</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13</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14</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15</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16</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17</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18</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19</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20</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21</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22</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23</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24</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25</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w:t>
            </w:r>
          </w:p>
        </w:tc>
        <w:tc>
          <w:tcPr>
            <w:tcW w:w="132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35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74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1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3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bl>
    <w:p>
      <w:pPr>
        <w:spacing w:line="276" w:lineRule="auto"/>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注：需提供上述人员的劳动合同</w:t>
      </w:r>
      <w:r>
        <w:rPr>
          <w:rFonts w:hint="eastAsia" w:ascii="宋体" w:hAnsi="宋体" w:cs="宋体"/>
          <w:kern w:val="0"/>
          <w:szCs w:val="21"/>
        </w:rPr>
        <w:t>及人民调解员证书</w:t>
      </w:r>
      <w:r>
        <w:rPr>
          <w:rFonts w:hint="eastAsia" w:ascii="宋体" w:hAnsi="宋体" w:cs="宋体"/>
          <w:szCs w:val="21"/>
        </w:rPr>
        <w:t>。</w:t>
      </w:r>
    </w:p>
    <w:p>
      <w:pPr>
        <w:spacing w:line="360" w:lineRule="auto"/>
        <w:ind w:firstLine="422" w:firstLineChars="200"/>
        <w:jc w:val="left"/>
        <w:rPr>
          <w:rFonts w:ascii="宋体" w:hAnsi="宋体" w:cs="宋体"/>
          <w:b/>
          <w:szCs w:val="21"/>
        </w:rPr>
      </w:pPr>
      <w:r>
        <w:rPr>
          <w:rFonts w:hint="eastAsia" w:ascii="宋体" w:hAnsi="宋体" w:cs="宋体"/>
          <w:b/>
          <w:szCs w:val="21"/>
        </w:rPr>
        <w:t>上述材料必须真实可信，如有弄虚作假，一旦被发现将按废标处理，并报请政府采购管理部门严肃处理，追究有关单位和人员的责任。</w:t>
      </w:r>
    </w:p>
    <w:p>
      <w:pPr>
        <w:spacing w:line="360" w:lineRule="auto"/>
        <w:rPr>
          <w:rFonts w:ascii="宋体" w:hAnsi="宋体"/>
          <w:sz w:val="36"/>
          <w:szCs w:val="36"/>
        </w:rPr>
      </w:pPr>
    </w:p>
    <w:p>
      <w:pPr>
        <w:spacing w:line="360" w:lineRule="auto"/>
        <w:jc w:val="center"/>
        <w:rPr>
          <w:rFonts w:hint="eastAsia" w:ascii="宋体" w:hAnsi="宋体"/>
          <w:sz w:val="36"/>
          <w:szCs w:val="36"/>
        </w:rPr>
      </w:pPr>
    </w:p>
    <w:p>
      <w:pPr>
        <w:spacing w:line="360" w:lineRule="auto"/>
        <w:jc w:val="center"/>
        <w:rPr>
          <w:rFonts w:ascii="宋体" w:hAnsi="宋体"/>
          <w:sz w:val="36"/>
          <w:szCs w:val="36"/>
        </w:rPr>
      </w:pPr>
      <w:r>
        <w:rPr>
          <w:rFonts w:hint="eastAsia" w:ascii="宋体" w:hAnsi="宋体"/>
          <w:sz w:val="36"/>
          <w:szCs w:val="36"/>
        </w:rPr>
        <w:t>九、增值服务</w:t>
      </w:r>
    </w:p>
    <w:p>
      <w:pPr>
        <w:pStyle w:val="38"/>
        <w:spacing w:line="360" w:lineRule="auto"/>
        <w:jc w:val="center"/>
        <w:rPr>
          <w:rFonts w:ascii="宋体" w:hAnsi="宋体"/>
          <w:b/>
        </w:rPr>
      </w:pPr>
      <w:r>
        <w:rPr>
          <w:rFonts w:hint="eastAsia" w:ascii="宋体" w:hAnsi="宋体"/>
          <w:b/>
        </w:rPr>
        <w:t>格式自拟</w:t>
      </w:r>
    </w:p>
    <w:p>
      <w:pPr>
        <w:spacing w:line="360" w:lineRule="auto"/>
        <w:ind w:firstLine="420" w:firstLineChars="200"/>
        <w:jc w:val="left"/>
      </w:pPr>
    </w:p>
    <w:p>
      <w:pPr>
        <w:spacing w:line="360" w:lineRule="auto"/>
        <w:ind w:firstLine="420" w:firstLineChars="200"/>
        <w:jc w:val="left"/>
      </w:pPr>
    </w:p>
    <w:p>
      <w:pPr>
        <w:spacing w:line="360" w:lineRule="auto"/>
        <w:ind w:firstLine="420" w:firstLineChars="200"/>
        <w:jc w:val="left"/>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24"/>
          <w:szCs w:val="24"/>
        </w:rPr>
      </w:pPr>
    </w:p>
    <w:p>
      <w:pPr>
        <w:numPr>
          <w:ilvl w:val="0"/>
          <w:numId w:val="0"/>
        </w:numPr>
        <w:spacing w:line="360" w:lineRule="auto"/>
        <w:jc w:val="center"/>
        <w:rPr>
          <w:rFonts w:hint="eastAsia" w:ascii="宋体" w:hAnsi="宋体"/>
          <w:sz w:val="36"/>
          <w:lang w:val="en-US" w:eastAsia="zh-CN"/>
        </w:rPr>
      </w:pPr>
      <w:r>
        <w:rPr>
          <w:rFonts w:hint="eastAsia" w:ascii="宋体" w:hAnsi="宋体" w:eastAsia="宋体" w:cs="Times New Roman"/>
          <w:kern w:val="2"/>
          <w:sz w:val="36"/>
          <w:szCs w:val="24"/>
          <w:lang w:val="en-US" w:eastAsia="zh-CN" w:bidi="ar-SA"/>
        </w:rPr>
        <w:t>十、</w:t>
      </w:r>
      <w:r>
        <w:rPr>
          <w:rFonts w:hint="eastAsia" w:ascii="宋体" w:hAnsi="宋体"/>
          <w:sz w:val="36"/>
          <w:lang w:val="en-US" w:eastAsia="zh-CN"/>
        </w:rPr>
        <w:t>近五年（自2019年1月1日）类似项目业绩业绩</w:t>
      </w:r>
    </w:p>
    <w:p>
      <w:pPr>
        <w:pStyle w:val="38"/>
        <w:spacing w:line="360" w:lineRule="auto"/>
        <w:jc w:val="center"/>
        <w:rPr>
          <w:rFonts w:hint="eastAsia" w:ascii="宋体" w:hAnsi="宋体"/>
          <w:b/>
        </w:rPr>
      </w:pPr>
      <w:r>
        <w:rPr>
          <w:rFonts w:hint="eastAsia" w:ascii="宋体" w:hAnsi="宋体"/>
          <w:b/>
        </w:rPr>
        <w:t>格式自拟</w:t>
      </w:r>
      <w:r>
        <w:rPr>
          <w:rFonts w:hint="eastAsia" w:ascii="宋体" w:hAnsi="宋体"/>
          <w:b/>
          <w:lang w:eastAsia="zh-CN"/>
        </w:rPr>
        <w:t>，</w:t>
      </w:r>
      <w:r>
        <w:rPr>
          <w:rFonts w:hint="eastAsia" w:ascii="宋体" w:hAnsi="宋体"/>
          <w:b/>
        </w:rPr>
        <w:t>以所提供的合同为准</w:t>
      </w:r>
    </w:p>
    <w:p>
      <w:pPr>
        <w:rPr>
          <w:rFonts w:hint="eastAsia" w:ascii="宋体" w:hAnsi="宋体"/>
          <w:sz w:val="36"/>
          <w:lang w:val="en-US" w:eastAsia="zh-CN"/>
        </w:rPr>
      </w:pPr>
      <w:r>
        <w:rPr>
          <w:rFonts w:hint="eastAsia" w:ascii="宋体" w:hAnsi="宋体"/>
          <w:sz w:val="36"/>
          <w:lang w:val="en-US" w:eastAsia="zh-CN"/>
        </w:rPr>
        <w:br w:type="page"/>
      </w:r>
    </w:p>
    <w:p>
      <w:pPr>
        <w:numPr>
          <w:ilvl w:val="0"/>
          <w:numId w:val="0"/>
        </w:numPr>
        <w:spacing w:line="360" w:lineRule="auto"/>
        <w:jc w:val="center"/>
        <w:rPr>
          <w:rFonts w:hint="eastAsia" w:ascii="宋体" w:hAnsi="宋体"/>
          <w:sz w:val="36"/>
          <w:lang w:val="en-US" w:eastAsia="zh-CN"/>
        </w:rPr>
      </w:pPr>
    </w:p>
    <w:p>
      <w:pPr>
        <w:numPr>
          <w:ilvl w:val="0"/>
          <w:numId w:val="0"/>
        </w:numPr>
        <w:spacing w:line="360" w:lineRule="auto"/>
        <w:jc w:val="center"/>
        <w:rPr>
          <w:rFonts w:ascii="宋体" w:hAnsi="宋体"/>
          <w:sz w:val="36"/>
        </w:rPr>
      </w:pPr>
      <w:r>
        <w:rPr>
          <w:rFonts w:hint="eastAsia" w:ascii="宋体" w:hAnsi="宋体"/>
          <w:sz w:val="36"/>
          <w:lang w:val="en-US" w:eastAsia="zh-CN"/>
        </w:rPr>
        <w:t>十一、</w:t>
      </w:r>
      <w:r>
        <w:rPr>
          <w:rFonts w:hint="eastAsia" w:ascii="宋体" w:hAnsi="宋体"/>
          <w:sz w:val="36"/>
        </w:rPr>
        <w:t>供应商需说明的其它问题</w:t>
      </w:r>
    </w:p>
    <w:p>
      <w:pPr>
        <w:spacing w:line="300" w:lineRule="atLeast"/>
        <w:ind w:firstLine="480" w:firstLineChars="200"/>
        <w:rPr>
          <w:rFonts w:ascii="宋体" w:hAnsi="宋体" w:cs="Arial"/>
          <w:sz w:val="24"/>
        </w:rPr>
      </w:pPr>
    </w:p>
    <w:p>
      <w:pPr>
        <w:spacing w:line="340" w:lineRule="exact"/>
        <w:rPr>
          <w:rFonts w:ascii="宋体" w:hAnsi="宋体"/>
          <w:sz w:val="24"/>
          <w:u w:val="single"/>
        </w:rPr>
      </w:pPr>
    </w:p>
    <w:p>
      <w:pPr>
        <w:spacing w:before="120" w:line="360" w:lineRule="auto"/>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sz w:val="44"/>
        </w:rPr>
      </w:pPr>
      <w:r>
        <w:rPr>
          <w:rFonts w:hint="eastAsia" w:ascii="宋体" w:hAnsi="宋体"/>
          <w:bCs/>
          <w:sz w:val="28"/>
          <w:szCs w:val="28"/>
        </w:rPr>
        <w:t>附件1：</w:t>
      </w:r>
    </w:p>
    <w:p>
      <w:pPr>
        <w:pStyle w:val="2"/>
        <w:rPr>
          <w:rFonts w:ascii="宋体" w:hAnsi="宋体"/>
          <w:b w:val="0"/>
          <w:sz w:val="36"/>
          <w:szCs w:val="36"/>
        </w:rPr>
      </w:pPr>
      <w:bookmarkStart w:id="46" w:name="_Toc142914514"/>
      <w:r>
        <w:rPr>
          <w:rFonts w:hint="eastAsia" w:ascii="宋体" w:hAnsi="宋体"/>
          <w:b w:val="0"/>
          <w:sz w:val="36"/>
          <w:szCs w:val="36"/>
        </w:rPr>
        <w:t>评 审 方 法</w:t>
      </w:r>
      <w:bookmarkEnd w:id="46"/>
    </w:p>
    <w:p>
      <w:pPr>
        <w:spacing w:line="360" w:lineRule="auto"/>
        <w:rPr>
          <w:rFonts w:ascii="宋体" w:hAnsi="宋体"/>
          <w:sz w:val="24"/>
        </w:rPr>
      </w:pPr>
      <w:r>
        <w:rPr>
          <w:rFonts w:hint="eastAsia" w:ascii="宋体" w:hAnsi="宋体"/>
          <w:sz w:val="24"/>
        </w:rPr>
        <w:t>评标方法：本项目采用综合评分法进行评标。</w:t>
      </w:r>
    </w:p>
    <w:p>
      <w:pPr>
        <w:spacing w:line="360" w:lineRule="auto"/>
        <w:ind w:firstLine="480" w:firstLineChars="200"/>
        <w:rPr>
          <w:rFonts w:ascii="宋体" w:hAnsi="宋体"/>
          <w:sz w:val="24"/>
        </w:rPr>
      </w:pPr>
      <w:r>
        <w:rPr>
          <w:rFonts w:hint="eastAsia" w:ascii="宋体" w:hAnsi="宋体"/>
          <w:kern w:val="0"/>
          <w:sz w:val="24"/>
        </w:rPr>
        <w:t>本项目采用综合评分法进行评标，评标委员会</w:t>
      </w:r>
      <w:r>
        <w:rPr>
          <w:rFonts w:hint="eastAsia" w:ascii="宋体" w:hAnsi="宋体"/>
          <w:sz w:val="24"/>
        </w:rPr>
        <w:t>计算出投标人的评标总得分，由高到低排出顺序，评标总得分由高至低排序第一的投标人推荐为中标候选人。如果投标人评标总得分相同，投标价低的投标人排序在前，综合得分且技术得分相同的，按投标人商务得分高的投标人排序在前。</w:t>
      </w:r>
    </w:p>
    <w:p>
      <w:pPr>
        <w:spacing w:line="360" w:lineRule="auto"/>
        <w:ind w:right="-2" w:firstLine="480" w:firstLineChars="200"/>
        <w:rPr>
          <w:rFonts w:ascii="宋体" w:hAnsi="宋体"/>
          <w:sz w:val="24"/>
        </w:rPr>
      </w:pPr>
      <w:r>
        <w:rPr>
          <w:rFonts w:ascii="宋体" w:hAnsi="宋体"/>
          <w:kern w:val="0"/>
          <w:sz w:val="24"/>
        </w:rPr>
        <w:t>2</w:t>
      </w:r>
      <w:r>
        <w:rPr>
          <w:rFonts w:hint="eastAsia" w:ascii="宋体" w:hAnsi="宋体"/>
          <w:kern w:val="0"/>
          <w:sz w:val="24"/>
        </w:rPr>
        <w:t>、</w:t>
      </w:r>
      <w:r>
        <w:rPr>
          <w:rFonts w:hint="eastAsia" w:ascii="宋体" w:hAnsi="宋体"/>
          <w:sz w:val="24"/>
        </w:rPr>
        <w:t>对于非专门面向中小企业采购的采购项目或采购包，在满足价格扣除条件且在投标文件中按要求提交了《中小企业声明函》的，对投标报价给予价格扣除，用扣除后的价格参与评审。投标报价扣除比例如下：将对符合规定的中小微企业报价给予</w:t>
      </w:r>
      <w:r>
        <w:rPr>
          <w:rFonts w:hint="eastAsia" w:ascii="宋体" w:hAnsi="宋体"/>
          <w:sz w:val="24"/>
          <w:u w:val="single"/>
        </w:rPr>
        <w:t>10%</w:t>
      </w:r>
      <w:r>
        <w:rPr>
          <w:rFonts w:hint="eastAsia" w:ascii="宋体" w:hAnsi="宋体"/>
          <w:sz w:val="24"/>
        </w:rPr>
        <w:t>的扣除。</w:t>
      </w:r>
    </w:p>
    <w:p>
      <w:pPr>
        <w:adjustRightInd w:val="0"/>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、投标人投标产品是监狱企业制造的，其产品报价给予一定比例的扣除，其产品报价给予1</w:t>
      </w:r>
      <w:r>
        <w:rPr>
          <w:rFonts w:ascii="宋体" w:hAnsi="宋体"/>
          <w:sz w:val="24"/>
        </w:rPr>
        <w:t>0％</w:t>
      </w:r>
      <w:r>
        <w:rPr>
          <w:rFonts w:hint="eastAsia" w:ascii="宋体" w:hAnsi="宋体"/>
          <w:sz w:val="24"/>
        </w:rPr>
        <w:t>的扣除，用扣除后的价格参与投标报价计算。</w:t>
      </w:r>
    </w:p>
    <w:p>
      <w:pPr>
        <w:adjustRightInd w:val="0"/>
        <w:snapToGrid w:val="0"/>
        <w:spacing w:line="360" w:lineRule="auto"/>
        <w:ind w:firstLine="480" w:firstLineChars="200"/>
        <w:rPr>
          <w:rFonts w:ascii="宋体" w:hAnsi="宋体"/>
          <w:sz w:val="24"/>
        </w:rPr>
      </w:pPr>
      <w:r>
        <w:rPr>
          <w:rFonts w:hint="eastAsia" w:ascii="宋体" w:hAnsi="宋体"/>
          <w:sz w:val="24"/>
        </w:rPr>
        <w:t>监狱企业同时属于小型、微型企业的，其享受的价格扣除比例取小微企业扣除率和监狱企业扣除率中的较大值。</w:t>
      </w:r>
    </w:p>
    <w:p>
      <w:pPr>
        <w:spacing w:line="360" w:lineRule="auto"/>
        <w:ind w:right="-2" w:firstLine="480" w:firstLineChars="200"/>
        <w:rPr>
          <w:rFonts w:ascii="宋体" w:hAnsi="宋体"/>
          <w:sz w:val="24"/>
        </w:rPr>
      </w:pPr>
      <w:r>
        <w:rPr>
          <w:rFonts w:ascii="宋体" w:hAnsi="宋体"/>
          <w:sz w:val="24"/>
        </w:rPr>
        <w:t>4</w:t>
      </w:r>
      <w:r>
        <w:rPr>
          <w:rFonts w:hint="eastAsia" w:ascii="宋体" w:hAnsi="宋体"/>
          <w:sz w:val="24"/>
        </w:rPr>
        <w:t>、投标人投标产品是残疾人福利性单位制造的，其产品报价给予1</w:t>
      </w:r>
      <w:r>
        <w:rPr>
          <w:rFonts w:ascii="宋体" w:hAnsi="宋体"/>
          <w:sz w:val="24"/>
        </w:rPr>
        <w:t>0％</w:t>
      </w:r>
      <w:r>
        <w:rPr>
          <w:rFonts w:hint="eastAsia" w:ascii="宋体" w:hAnsi="宋体"/>
          <w:sz w:val="24"/>
        </w:rPr>
        <w:t>的扣除，用扣除后的价格参与投标报价计算。</w:t>
      </w:r>
    </w:p>
    <w:p>
      <w:pPr>
        <w:spacing w:line="360" w:lineRule="auto"/>
        <w:ind w:right="-2" w:firstLine="480" w:firstLineChars="200"/>
        <w:rPr>
          <w:rFonts w:ascii="宋体" w:hAnsi="宋体"/>
          <w:sz w:val="24"/>
        </w:rPr>
      </w:pPr>
      <w:r>
        <w:rPr>
          <w:rFonts w:hint="eastAsia" w:ascii="宋体" w:hAnsi="宋体"/>
          <w:sz w:val="24"/>
        </w:rPr>
        <w:t>残疾人福利性单位同时属于小型、微型企业的，其享受的价格扣除比例取小微企业扣除率和残疾人福利性单位扣除率中的较大值。</w:t>
      </w:r>
    </w:p>
    <w:p>
      <w:pPr>
        <w:spacing w:line="360" w:lineRule="auto"/>
        <w:ind w:right="-2" w:firstLine="480" w:firstLineChars="200"/>
        <w:rPr>
          <w:rFonts w:ascii="宋体" w:hAnsi="宋体"/>
          <w:sz w:val="24"/>
        </w:rPr>
      </w:pPr>
      <w:r>
        <w:rPr>
          <w:rFonts w:hint="eastAsia" w:ascii="宋体" w:hAnsi="宋体"/>
          <w:sz w:val="24"/>
        </w:rPr>
        <w:t>5、同时属于</w:t>
      </w:r>
      <w:r>
        <w:rPr>
          <w:rFonts w:ascii="宋体" w:hAnsi="宋体"/>
          <w:sz w:val="24"/>
        </w:rPr>
        <w:t>中小企业</w:t>
      </w:r>
      <w:r>
        <w:rPr>
          <w:rFonts w:hint="eastAsia" w:ascii="宋体" w:hAnsi="宋体"/>
          <w:sz w:val="24"/>
        </w:rPr>
        <w:t>、监狱企业、残疾人福利性单位的，其享受的价格扣除比例取小微企业扣除率、监狱企业扣除比例、残疾人福利性单位扣除率中的较大值。</w:t>
      </w:r>
    </w:p>
    <w:p>
      <w:pPr>
        <w:adjustRightInd w:val="0"/>
        <w:snapToGrid w:val="0"/>
        <w:spacing w:line="360" w:lineRule="auto"/>
        <w:ind w:firstLine="420"/>
        <w:rPr>
          <w:rFonts w:ascii="宋体" w:hAnsi="宋体"/>
          <w:kern w:val="0"/>
          <w:sz w:val="24"/>
        </w:rPr>
      </w:pPr>
      <w:r>
        <w:rPr>
          <w:rFonts w:hint="eastAsia" w:ascii="宋体" w:hAnsi="宋体"/>
          <w:kern w:val="0"/>
          <w:sz w:val="24"/>
        </w:rPr>
        <w:t>基本评分标准：</w:t>
      </w:r>
      <w:r>
        <w:rPr>
          <w:rFonts w:ascii="宋体" w:hAnsi="宋体"/>
          <w:kern w:val="0"/>
          <w:sz w:val="24"/>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709"/>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jc w:val="center"/>
        </w:trPr>
        <w:tc>
          <w:tcPr>
            <w:tcW w:w="816" w:type="dxa"/>
            <w:vAlign w:val="center"/>
          </w:tcPr>
          <w:p>
            <w:pPr>
              <w:jc w:val="center"/>
              <w:rPr>
                <w:rFonts w:ascii="宋体" w:hAnsi="宋体" w:cs="宋体"/>
                <w:b/>
                <w:sz w:val="24"/>
              </w:rPr>
            </w:pPr>
            <w:r>
              <w:rPr>
                <w:rFonts w:hint="eastAsia" w:ascii="宋体" w:hAnsi="宋体" w:cs="宋体"/>
                <w:b/>
                <w:sz w:val="24"/>
              </w:rPr>
              <w:t>分项</w:t>
            </w:r>
          </w:p>
        </w:tc>
        <w:tc>
          <w:tcPr>
            <w:tcW w:w="1277" w:type="dxa"/>
            <w:vAlign w:val="center"/>
          </w:tcPr>
          <w:p>
            <w:pPr>
              <w:jc w:val="center"/>
              <w:rPr>
                <w:rFonts w:ascii="宋体" w:hAnsi="宋体" w:cs="宋体"/>
                <w:b/>
                <w:sz w:val="24"/>
              </w:rPr>
            </w:pPr>
            <w:r>
              <w:rPr>
                <w:rFonts w:hint="eastAsia" w:ascii="宋体" w:hAnsi="宋体" w:cs="宋体"/>
                <w:b/>
                <w:sz w:val="24"/>
              </w:rPr>
              <w:t>评分因素</w:t>
            </w:r>
          </w:p>
        </w:tc>
        <w:tc>
          <w:tcPr>
            <w:tcW w:w="709" w:type="dxa"/>
            <w:vAlign w:val="center"/>
          </w:tcPr>
          <w:p>
            <w:pPr>
              <w:adjustRightInd w:val="0"/>
              <w:snapToGrid w:val="0"/>
              <w:jc w:val="center"/>
              <w:rPr>
                <w:rFonts w:ascii="宋体" w:hAnsi="宋体" w:cs="宋体"/>
                <w:b/>
                <w:sz w:val="24"/>
              </w:rPr>
            </w:pPr>
            <w:r>
              <w:rPr>
                <w:rFonts w:hint="eastAsia" w:ascii="宋体" w:hAnsi="宋体" w:cs="宋体"/>
                <w:b/>
                <w:szCs w:val="21"/>
              </w:rPr>
              <w:t>满分分值</w:t>
            </w:r>
          </w:p>
        </w:tc>
        <w:tc>
          <w:tcPr>
            <w:tcW w:w="6280" w:type="dxa"/>
            <w:vAlign w:val="center"/>
          </w:tcPr>
          <w:p>
            <w:pPr>
              <w:jc w:val="center"/>
              <w:rPr>
                <w:rFonts w:ascii="宋体" w:hAnsi="宋体" w:cs="宋体"/>
                <w:b/>
                <w:sz w:val="24"/>
              </w:rPr>
            </w:pPr>
            <w:r>
              <w:rPr>
                <w:rFonts w:hint="eastAsia" w:ascii="宋体" w:hAnsi="宋体" w:cs="宋体"/>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816" w:type="dxa"/>
            <w:vAlign w:val="center"/>
          </w:tcPr>
          <w:p>
            <w:pPr>
              <w:jc w:val="center"/>
              <w:rPr>
                <w:rFonts w:ascii="宋体" w:hAnsi="宋体" w:cs="宋体"/>
                <w:szCs w:val="21"/>
              </w:rPr>
            </w:pPr>
            <w:r>
              <w:rPr>
                <w:rFonts w:hint="eastAsia" w:ascii="宋体" w:hAnsi="宋体" w:cs="宋体"/>
                <w:szCs w:val="21"/>
              </w:rPr>
              <w:t>价格</w:t>
            </w:r>
          </w:p>
          <w:p>
            <w:pPr>
              <w:jc w:val="center"/>
              <w:rPr>
                <w:rFonts w:ascii="宋体" w:hAnsi="宋体" w:cs="宋体"/>
                <w:szCs w:val="21"/>
              </w:rPr>
            </w:pPr>
            <w:r>
              <w:rPr>
                <w:rFonts w:hint="eastAsia" w:ascii="宋体" w:hAnsi="宋体" w:cs="宋体"/>
                <w:szCs w:val="21"/>
              </w:rPr>
              <w:t>部分</w:t>
            </w:r>
          </w:p>
        </w:tc>
        <w:tc>
          <w:tcPr>
            <w:tcW w:w="1277" w:type="dxa"/>
            <w:vAlign w:val="center"/>
          </w:tcPr>
          <w:p>
            <w:pPr>
              <w:rPr>
                <w:rFonts w:ascii="宋体" w:hAnsi="宋体" w:cs="宋体"/>
                <w:szCs w:val="21"/>
              </w:rPr>
            </w:pPr>
            <w:r>
              <w:rPr>
                <w:rFonts w:hint="eastAsia" w:ascii="宋体" w:hAnsi="宋体" w:cs="宋体"/>
                <w:szCs w:val="21"/>
              </w:rPr>
              <w:t>投标报价</w:t>
            </w:r>
          </w:p>
        </w:tc>
        <w:tc>
          <w:tcPr>
            <w:tcW w:w="709" w:type="dxa"/>
            <w:vAlign w:val="center"/>
          </w:tcPr>
          <w:p>
            <w:pPr>
              <w:jc w:val="center"/>
              <w:rPr>
                <w:rFonts w:ascii="宋体" w:hAnsi="宋体" w:cs="宋体"/>
                <w:szCs w:val="21"/>
              </w:rPr>
            </w:pPr>
            <w:r>
              <w:rPr>
                <w:rFonts w:hint="eastAsia" w:ascii="宋体" w:hAnsi="宋体" w:cs="宋体"/>
                <w:kern w:val="0"/>
                <w:szCs w:val="21"/>
                <w:lang w:val="en-US" w:eastAsia="zh-CN"/>
              </w:rPr>
              <w:t>2</w:t>
            </w:r>
            <w:r>
              <w:rPr>
                <w:rFonts w:hint="eastAsia" w:ascii="宋体" w:hAnsi="宋体" w:cs="宋体"/>
                <w:kern w:val="0"/>
                <w:szCs w:val="21"/>
              </w:rPr>
              <w:t>0</w:t>
            </w:r>
            <w:r>
              <w:rPr>
                <w:rFonts w:hint="eastAsia" w:ascii="宋体" w:hAnsi="宋体" w:cs="宋体"/>
                <w:szCs w:val="21"/>
              </w:rPr>
              <w:t>分</w:t>
            </w:r>
          </w:p>
        </w:tc>
        <w:tc>
          <w:tcPr>
            <w:tcW w:w="6280" w:type="dxa"/>
            <w:vAlign w:val="center"/>
          </w:tcPr>
          <w:p>
            <w:pPr>
              <w:spacing w:line="400" w:lineRule="exact"/>
              <w:rPr>
                <w:rFonts w:ascii="宋体" w:hAnsi="宋体" w:cs="宋体"/>
                <w:bCs/>
                <w:szCs w:val="21"/>
              </w:rPr>
            </w:pPr>
            <w:r>
              <w:rPr>
                <w:rFonts w:hint="eastAsia" w:ascii="宋体" w:hAnsi="宋体" w:cs="宋体"/>
                <w:bCs/>
                <w:szCs w:val="21"/>
              </w:rPr>
              <w:t>投标人报价得分＝</w:t>
            </w:r>
            <w:r>
              <w:rPr>
                <w:rFonts w:hint="eastAsia" w:ascii="宋体" w:hAnsi="宋体" w:cs="宋体"/>
                <w:szCs w:val="21"/>
              </w:rPr>
              <w:t>（评标基准价/投标报价）×</w:t>
            </w:r>
            <w:r>
              <w:rPr>
                <w:rFonts w:hint="eastAsia" w:ascii="宋体" w:hAnsi="宋体" w:cs="宋体"/>
                <w:szCs w:val="21"/>
                <w:lang w:val="en-US" w:eastAsia="zh-CN"/>
              </w:rPr>
              <w:t>2</w:t>
            </w:r>
            <w:r>
              <w:rPr>
                <w:rFonts w:hint="eastAsia" w:ascii="宋体" w:hAnsi="宋体" w:cs="宋体"/>
                <w:szCs w:val="21"/>
              </w:rPr>
              <w:t>0</w:t>
            </w:r>
          </w:p>
          <w:p>
            <w:pPr>
              <w:spacing w:line="400" w:lineRule="exact"/>
              <w:rPr>
                <w:rFonts w:ascii="宋体" w:hAnsi="宋体" w:cs="宋体"/>
                <w:bCs/>
                <w:szCs w:val="21"/>
              </w:rPr>
            </w:pPr>
            <w:r>
              <w:rPr>
                <w:rFonts w:hint="eastAsia" w:ascii="宋体" w:hAnsi="宋体" w:cs="宋体"/>
                <w:bCs/>
                <w:szCs w:val="21"/>
              </w:rPr>
              <w:t>注：</w:t>
            </w:r>
          </w:p>
          <w:p>
            <w:pPr>
              <w:spacing w:line="400" w:lineRule="exact"/>
              <w:rPr>
                <w:rFonts w:ascii="宋体" w:hAnsi="宋体" w:cs="宋体"/>
                <w:szCs w:val="21"/>
              </w:rPr>
            </w:pPr>
            <w:r>
              <w:rPr>
                <w:rFonts w:hint="eastAsia" w:ascii="宋体" w:hAnsi="宋体" w:cs="宋体"/>
                <w:bCs/>
                <w:szCs w:val="21"/>
              </w:rPr>
              <w:t>1.评标</w:t>
            </w:r>
            <w:r>
              <w:rPr>
                <w:rFonts w:hint="eastAsia" w:ascii="宋体" w:hAnsi="宋体" w:cs="宋体"/>
                <w:szCs w:val="21"/>
              </w:rPr>
              <w:t>基准价为满足招标文件要求且投标价格最低的投标报价。</w:t>
            </w:r>
          </w:p>
          <w:p>
            <w:pPr>
              <w:spacing w:line="400" w:lineRule="exact"/>
              <w:rPr>
                <w:rFonts w:ascii="宋体" w:hAnsi="宋体" w:cs="宋体"/>
                <w:szCs w:val="21"/>
              </w:rPr>
            </w:pPr>
            <w:r>
              <w:rPr>
                <w:rFonts w:hint="eastAsia" w:ascii="宋体" w:hAnsi="宋体" w:cs="宋体"/>
                <w:szCs w:val="21"/>
              </w:rPr>
              <w:t>2.投标人报价为投标函中投标总价。</w:t>
            </w:r>
          </w:p>
          <w:p>
            <w:pPr>
              <w:spacing w:line="400" w:lineRule="exact"/>
              <w:rPr>
                <w:rFonts w:ascii="宋体" w:hAnsi="宋体" w:cs="宋体"/>
                <w:szCs w:val="21"/>
              </w:rPr>
            </w:pPr>
            <w:r>
              <w:rPr>
                <w:rFonts w:hint="eastAsia" w:ascii="宋体" w:hAnsi="宋体" w:cs="宋体"/>
                <w:szCs w:val="21"/>
              </w:rPr>
              <w:t>3.本项目专门面向中小企业企业招标，价格评审时不再对中小企业进行价格扣除。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816" w:type="dxa"/>
            <w:vMerge w:val="restart"/>
            <w:vAlign w:val="center"/>
          </w:tcPr>
          <w:p>
            <w:pPr>
              <w:jc w:val="center"/>
              <w:rPr>
                <w:rFonts w:ascii="宋体" w:hAnsi="宋体" w:cs="宋体"/>
                <w:szCs w:val="21"/>
              </w:rPr>
            </w:pPr>
            <w:r>
              <w:rPr>
                <w:rFonts w:hint="eastAsia" w:ascii="宋体" w:hAnsi="宋体" w:cs="宋体"/>
                <w:szCs w:val="21"/>
              </w:rPr>
              <w:t>技术部分</w:t>
            </w:r>
          </w:p>
        </w:tc>
        <w:tc>
          <w:tcPr>
            <w:tcW w:w="1277" w:type="dxa"/>
            <w:vAlign w:val="center"/>
          </w:tcPr>
          <w:p>
            <w:pPr>
              <w:jc w:val="center"/>
              <w:rPr>
                <w:rFonts w:ascii="宋体" w:hAnsi="宋体" w:cs="宋体"/>
                <w:szCs w:val="21"/>
              </w:rPr>
            </w:pPr>
            <w:r>
              <w:rPr>
                <w:rFonts w:hint="eastAsia" w:ascii="宋体" w:hAnsi="宋体" w:cs="宋体"/>
                <w:szCs w:val="21"/>
              </w:rPr>
              <w:t>项目实施及管理方案</w:t>
            </w:r>
          </w:p>
        </w:tc>
        <w:tc>
          <w:tcPr>
            <w:tcW w:w="709" w:type="dxa"/>
            <w:vAlign w:val="center"/>
          </w:tcPr>
          <w:p>
            <w:pPr>
              <w:jc w:val="center"/>
              <w:rPr>
                <w:rFonts w:ascii="宋体" w:hAnsi="宋体" w:cs="宋体"/>
                <w:szCs w:val="21"/>
              </w:rPr>
            </w:pPr>
            <w:r>
              <w:rPr>
                <w:rFonts w:hint="eastAsia" w:ascii="宋体" w:hAnsi="宋体" w:cs="宋体"/>
                <w:szCs w:val="21"/>
                <w:lang w:val="en-US" w:eastAsia="zh-CN"/>
              </w:rPr>
              <w:t>20</w:t>
            </w:r>
            <w:r>
              <w:rPr>
                <w:rFonts w:hint="eastAsia" w:ascii="宋体" w:hAnsi="宋体" w:cs="宋体"/>
                <w:szCs w:val="21"/>
              </w:rPr>
              <w:t>分</w:t>
            </w:r>
          </w:p>
        </w:tc>
        <w:tc>
          <w:tcPr>
            <w:tcW w:w="6280" w:type="dxa"/>
            <w:vAlign w:val="center"/>
          </w:tcPr>
          <w:p>
            <w:pPr>
              <w:spacing w:line="400" w:lineRule="exact"/>
              <w:rPr>
                <w:rFonts w:ascii="宋体" w:hAnsi="宋体" w:cs="宋体"/>
                <w:szCs w:val="21"/>
              </w:rPr>
            </w:pPr>
            <w:r>
              <w:rPr>
                <w:rFonts w:hint="eastAsia" w:ascii="宋体" w:hAnsi="宋体" w:cs="宋体"/>
                <w:szCs w:val="21"/>
              </w:rPr>
              <w:t>投标人根据本项目特殊性，结合实际情况，有针对性的出具服务方案，方案科学、合理、服务系统完善、针对性强，综合实力强大，能够充分满足招标人的需求（得</w:t>
            </w:r>
            <w:r>
              <w:rPr>
                <w:rFonts w:hint="eastAsia" w:ascii="宋体" w:hAnsi="宋体" w:cs="宋体"/>
                <w:szCs w:val="21"/>
                <w:lang w:val="en-US" w:eastAsia="zh-CN"/>
              </w:rPr>
              <w:t>15</w:t>
            </w: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p>
            <w:pPr>
              <w:spacing w:line="400" w:lineRule="exact"/>
              <w:rPr>
                <w:rFonts w:ascii="宋体" w:hAnsi="宋体" w:cs="宋体"/>
                <w:szCs w:val="21"/>
              </w:rPr>
            </w:pPr>
            <w:r>
              <w:rPr>
                <w:rFonts w:hint="eastAsia" w:ascii="宋体" w:hAnsi="宋体" w:cs="宋体"/>
                <w:szCs w:val="21"/>
              </w:rPr>
              <w:t>投标人服务方案较为针对性不明显，方案不完全体现出本项目特殊性，方案的科学、合理、服务系统较为完善、针对性一般，综合实力较强，能够满足招标人的需求（得</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14</w:t>
            </w:r>
            <w:r>
              <w:rPr>
                <w:rFonts w:hint="eastAsia" w:ascii="宋体" w:hAnsi="宋体" w:cs="宋体"/>
                <w:szCs w:val="21"/>
              </w:rPr>
              <w:t>分）；</w:t>
            </w:r>
          </w:p>
          <w:p>
            <w:pPr>
              <w:spacing w:line="400" w:lineRule="exact"/>
              <w:rPr>
                <w:rFonts w:ascii="宋体" w:hAnsi="宋体" w:cs="宋体"/>
                <w:szCs w:val="21"/>
              </w:rPr>
            </w:pPr>
            <w:r>
              <w:rPr>
                <w:rFonts w:hint="eastAsia" w:ascii="宋体" w:hAnsi="宋体" w:cs="宋体"/>
                <w:szCs w:val="21"/>
              </w:rPr>
              <w:t>投标人服务方案缺乏针对性，偏向大众化，无特殊性体现，方案的科学、合理性、服务系统一般，综合实力一般，基本能够满足招标人的需求（得5-</w:t>
            </w:r>
            <w:r>
              <w:rPr>
                <w:rFonts w:hint="eastAsia" w:ascii="宋体" w:hAnsi="宋体" w:cs="宋体"/>
                <w:szCs w:val="21"/>
                <w:lang w:val="en-US" w:eastAsia="zh-CN"/>
              </w:rPr>
              <w:t>9</w:t>
            </w:r>
            <w:r>
              <w:rPr>
                <w:rFonts w:hint="eastAsia" w:ascii="宋体" w:hAnsi="宋体" w:cs="宋体"/>
                <w:szCs w:val="21"/>
              </w:rPr>
              <w:t>分）。</w:t>
            </w:r>
          </w:p>
          <w:p>
            <w:pPr>
              <w:spacing w:line="400" w:lineRule="exact"/>
              <w:rPr>
                <w:rFonts w:ascii="宋体" w:hAnsi="宋体" w:cs="宋体"/>
                <w:szCs w:val="21"/>
              </w:rPr>
            </w:pPr>
            <w:r>
              <w:rPr>
                <w:rFonts w:hint="eastAsia" w:ascii="宋体" w:hAnsi="宋体" w:cs="宋体"/>
                <w:szCs w:val="21"/>
              </w:rPr>
              <w:t>注：未提供的本项不得分。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6" w:type="dxa"/>
            <w:vMerge w:val="continue"/>
            <w:vAlign w:val="center"/>
          </w:tcPr>
          <w:p>
            <w:pPr>
              <w:jc w:val="center"/>
              <w:rPr>
                <w:rFonts w:ascii="宋体" w:hAnsi="宋体" w:cs="宋体"/>
                <w:szCs w:val="21"/>
              </w:rPr>
            </w:pPr>
          </w:p>
        </w:tc>
        <w:tc>
          <w:tcPr>
            <w:tcW w:w="1277" w:type="dxa"/>
            <w:vAlign w:val="center"/>
          </w:tcPr>
          <w:p>
            <w:pPr>
              <w:spacing w:line="400" w:lineRule="exact"/>
              <w:jc w:val="center"/>
              <w:rPr>
                <w:rFonts w:ascii="宋体" w:hAnsi="宋体" w:cs="宋体"/>
                <w:szCs w:val="21"/>
              </w:rPr>
            </w:pPr>
            <w:r>
              <w:rPr>
                <w:rFonts w:hint="eastAsia" w:ascii="宋体" w:hAnsi="宋体" w:cs="宋体"/>
                <w:kern w:val="0"/>
                <w:szCs w:val="21"/>
              </w:rPr>
              <w:t>对本项目实施过程中重点、难点的认识及解决方案</w:t>
            </w:r>
          </w:p>
        </w:tc>
        <w:tc>
          <w:tcPr>
            <w:tcW w:w="709" w:type="dxa"/>
            <w:vAlign w:val="center"/>
          </w:tcPr>
          <w:p>
            <w:pPr>
              <w:jc w:val="center"/>
              <w:rPr>
                <w:rFonts w:ascii="宋体" w:hAnsi="宋体" w:cs="宋体"/>
                <w:szCs w:val="21"/>
              </w:rPr>
            </w:pPr>
            <w:r>
              <w:rPr>
                <w:rFonts w:hint="eastAsia" w:ascii="宋体" w:hAnsi="宋体" w:cs="宋体"/>
                <w:szCs w:val="21"/>
              </w:rPr>
              <w:t>10分</w:t>
            </w:r>
          </w:p>
        </w:tc>
        <w:tc>
          <w:tcPr>
            <w:tcW w:w="6280" w:type="dxa"/>
            <w:vAlign w:val="center"/>
          </w:tcPr>
          <w:p>
            <w:pPr>
              <w:spacing w:line="400" w:lineRule="exact"/>
              <w:rPr>
                <w:rFonts w:ascii="宋体" w:hAnsi="宋体" w:cs="宋体"/>
                <w:szCs w:val="21"/>
              </w:rPr>
            </w:pPr>
            <w:r>
              <w:rPr>
                <w:rFonts w:hint="eastAsia" w:ascii="宋体" w:hAnsi="宋体" w:cs="宋体"/>
                <w:szCs w:val="21"/>
              </w:rPr>
              <w:t>对本项目重点、难点，充分结合人员特性，出具认识深刻、表述全面、把握准确的解决方案，且方案科学、系统、经济，可操作性强，保障措施得力（得8-10分）；</w:t>
            </w:r>
          </w:p>
          <w:p>
            <w:pPr>
              <w:spacing w:line="400" w:lineRule="exact"/>
              <w:rPr>
                <w:rFonts w:ascii="宋体" w:hAnsi="宋体" w:cs="宋体"/>
                <w:szCs w:val="21"/>
              </w:rPr>
            </w:pPr>
            <w:r>
              <w:rPr>
                <w:rFonts w:hint="eastAsia" w:ascii="宋体" w:hAnsi="宋体" w:cs="宋体"/>
                <w:szCs w:val="21"/>
              </w:rPr>
              <w:t>对本项目重点、难点，适当的结合人员特性，出具较为深刻、表述大部分全面、把握较为准确的解决方案，且方案较为科学、系统、经济，可操作性较强，保障措施较为(得5-7分）；</w:t>
            </w:r>
          </w:p>
          <w:p>
            <w:pPr>
              <w:spacing w:line="400" w:lineRule="exact"/>
              <w:rPr>
                <w:rFonts w:ascii="宋体" w:hAnsi="宋体" w:cs="宋体"/>
                <w:szCs w:val="21"/>
              </w:rPr>
            </w:pPr>
            <w:r>
              <w:rPr>
                <w:rFonts w:hint="eastAsia" w:ascii="宋体" w:hAnsi="宋体" w:cs="宋体"/>
                <w:szCs w:val="21"/>
              </w:rPr>
              <w:t>对本项目重点、难点，未结合人员特性，出具的解决方案表述不全面，把握欠缺，且方案缺乏科学、系统、经济，可操作性一般，保障措施一般（得2-4分）</w:t>
            </w:r>
          </w:p>
          <w:p>
            <w:pPr>
              <w:spacing w:line="276" w:lineRule="auto"/>
              <w:rPr>
                <w:rFonts w:ascii="宋体" w:hAnsi="宋体" w:cs="宋体"/>
                <w:szCs w:val="21"/>
              </w:rPr>
            </w:pPr>
            <w:r>
              <w:rPr>
                <w:rFonts w:hint="eastAsia" w:ascii="宋体" w:hAnsi="宋体" w:cs="宋体"/>
                <w:szCs w:val="21"/>
              </w:rPr>
              <w:t>注：未提供的本项不得分。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6" w:type="dxa"/>
            <w:vAlign w:val="center"/>
          </w:tcPr>
          <w:p>
            <w:pPr>
              <w:jc w:val="center"/>
              <w:rPr>
                <w:rFonts w:ascii="宋体" w:hAnsi="宋体" w:cs="宋体"/>
                <w:szCs w:val="21"/>
              </w:rPr>
            </w:pPr>
          </w:p>
        </w:tc>
        <w:tc>
          <w:tcPr>
            <w:tcW w:w="1277" w:type="dxa"/>
            <w:vAlign w:val="center"/>
          </w:tcPr>
          <w:p>
            <w:pPr>
              <w:spacing w:line="400" w:lineRule="exact"/>
              <w:jc w:val="center"/>
              <w:rPr>
                <w:rFonts w:ascii="宋体" w:hAnsi="宋体" w:cs="宋体"/>
                <w:szCs w:val="21"/>
              </w:rPr>
            </w:pPr>
            <w:r>
              <w:rPr>
                <w:rFonts w:hint="eastAsia" w:ascii="宋体" w:hAnsi="宋体" w:cs="宋体"/>
                <w:szCs w:val="21"/>
              </w:rPr>
              <w:t>应急预案</w:t>
            </w:r>
          </w:p>
        </w:tc>
        <w:tc>
          <w:tcPr>
            <w:tcW w:w="709" w:type="dxa"/>
            <w:vAlign w:val="center"/>
          </w:tcPr>
          <w:p>
            <w:pPr>
              <w:jc w:val="center"/>
              <w:rPr>
                <w:rFonts w:ascii="宋体" w:hAnsi="宋体" w:cs="宋体"/>
                <w:szCs w:val="21"/>
              </w:rPr>
            </w:pPr>
            <w:r>
              <w:rPr>
                <w:rFonts w:hint="eastAsia" w:ascii="宋体" w:hAnsi="宋体" w:cs="宋体"/>
                <w:szCs w:val="21"/>
              </w:rPr>
              <w:t>15分</w:t>
            </w:r>
          </w:p>
        </w:tc>
        <w:tc>
          <w:tcPr>
            <w:tcW w:w="6280" w:type="dxa"/>
            <w:vAlign w:val="center"/>
          </w:tcPr>
          <w:p>
            <w:pPr>
              <w:spacing w:line="276" w:lineRule="auto"/>
              <w:rPr>
                <w:rFonts w:ascii="宋体" w:hAnsi="宋体" w:cs="宋体"/>
                <w:szCs w:val="21"/>
              </w:rPr>
            </w:pPr>
            <w:r>
              <w:rPr>
                <w:rFonts w:hint="eastAsia" w:ascii="宋体" w:hAnsi="宋体" w:cs="宋体"/>
                <w:szCs w:val="21"/>
              </w:rPr>
              <w:t>投标人根据本项目各种调解案件实际情况，均出具了可行的、安全的应急预案，且预案措施合理、完善，可控性强、可操作性强（得12-15分）；</w:t>
            </w:r>
          </w:p>
          <w:p>
            <w:pPr>
              <w:spacing w:line="276" w:lineRule="auto"/>
              <w:rPr>
                <w:rFonts w:ascii="宋体" w:hAnsi="宋体" w:cs="宋体"/>
                <w:szCs w:val="21"/>
              </w:rPr>
            </w:pPr>
            <w:r>
              <w:rPr>
                <w:rFonts w:hint="eastAsia" w:ascii="宋体" w:hAnsi="宋体" w:cs="宋体"/>
                <w:szCs w:val="21"/>
              </w:rPr>
              <w:t>投标人根据本项目各种调解案件实际情况，部分出具了较为可行的、安全的应急预案，且预案措施较为合理、完善，可控性较强、可操作性较强（得7-10分）；</w:t>
            </w:r>
          </w:p>
          <w:p>
            <w:pPr>
              <w:spacing w:line="276" w:lineRule="auto"/>
              <w:rPr>
                <w:rFonts w:ascii="宋体" w:hAnsi="宋体" w:cs="宋体"/>
                <w:szCs w:val="21"/>
              </w:rPr>
            </w:pPr>
            <w:r>
              <w:rPr>
                <w:rFonts w:hint="eastAsia" w:ascii="宋体" w:hAnsi="宋体" w:cs="宋体"/>
                <w:szCs w:val="21"/>
              </w:rPr>
              <w:t>投标人根据本项目各种调解案件实际情况，只针对个别种类案件出具了勉强可行的、安全的应急预案，且预案措施不太合理、完善，可控性一般、可操作性一般（得2-5分）；</w:t>
            </w:r>
          </w:p>
          <w:p>
            <w:pPr>
              <w:rPr>
                <w:rFonts w:ascii="宋体" w:hAnsi="宋体" w:cs="宋体"/>
                <w:szCs w:val="21"/>
              </w:rPr>
            </w:pPr>
            <w:r>
              <w:rPr>
                <w:rFonts w:hint="eastAsia" w:ascii="宋体" w:hAnsi="宋体" w:cs="宋体"/>
                <w:b/>
                <w:szCs w:val="21"/>
              </w:rPr>
              <w:t>注：</w:t>
            </w:r>
            <w:r>
              <w:rPr>
                <w:rFonts w:hint="eastAsia" w:ascii="宋体" w:hAnsi="宋体" w:cs="宋体"/>
                <w:szCs w:val="21"/>
              </w:rPr>
              <w:t>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6" w:type="dxa"/>
            <w:vMerge w:val="restart"/>
            <w:vAlign w:val="center"/>
          </w:tcPr>
          <w:p>
            <w:pPr>
              <w:spacing w:line="300" w:lineRule="exact"/>
              <w:jc w:val="center"/>
              <w:rPr>
                <w:rFonts w:ascii="宋体" w:hAnsi="宋体" w:cs="宋体"/>
                <w:szCs w:val="21"/>
              </w:rPr>
            </w:pPr>
            <w:r>
              <w:rPr>
                <w:rFonts w:hint="eastAsia" w:ascii="宋体" w:hAnsi="宋体" w:cs="宋体"/>
                <w:szCs w:val="21"/>
              </w:rPr>
              <w:t>商务部分</w:t>
            </w:r>
          </w:p>
        </w:tc>
        <w:tc>
          <w:tcPr>
            <w:tcW w:w="1277" w:type="dxa"/>
            <w:vMerge w:val="restart"/>
            <w:vAlign w:val="center"/>
          </w:tcPr>
          <w:p>
            <w:pPr>
              <w:jc w:val="center"/>
              <w:rPr>
                <w:rFonts w:ascii="宋体" w:hAnsi="宋体" w:cs="宋体"/>
                <w:kern w:val="0"/>
                <w:szCs w:val="21"/>
              </w:rPr>
            </w:pPr>
            <w:r>
              <w:rPr>
                <w:rFonts w:hint="eastAsia" w:ascii="宋体" w:hAnsi="宋体" w:cs="宋体"/>
                <w:kern w:val="0"/>
                <w:szCs w:val="21"/>
              </w:rPr>
              <w:t>人员配备情况</w:t>
            </w:r>
          </w:p>
        </w:tc>
        <w:tc>
          <w:tcPr>
            <w:tcW w:w="709" w:type="dxa"/>
            <w:vAlign w:val="center"/>
          </w:tcPr>
          <w:p>
            <w:pPr>
              <w:spacing w:line="300" w:lineRule="exact"/>
              <w:jc w:val="center"/>
              <w:rPr>
                <w:rFonts w:ascii="宋体" w:hAnsi="宋体" w:cs="宋体"/>
                <w:szCs w:val="21"/>
              </w:rPr>
            </w:pPr>
            <w:r>
              <w:rPr>
                <w:rFonts w:hint="eastAsia" w:ascii="宋体" w:hAnsi="宋体" w:cs="宋体"/>
                <w:szCs w:val="21"/>
              </w:rPr>
              <w:t>15分</w:t>
            </w:r>
          </w:p>
        </w:tc>
        <w:tc>
          <w:tcPr>
            <w:tcW w:w="6280" w:type="dxa"/>
            <w:vAlign w:val="center"/>
          </w:tcPr>
          <w:p>
            <w:pPr>
              <w:spacing w:line="400" w:lineRule="exact"/>
              <w:ind w:right="-136" w:rightChars="-65"/>
              <w:rPr>
                <w:rFonts w:ascii="宋体" w:hAnsi="宋体" w:cs="宋体"/>
                <w:szCs w:val="21"/>
              </w:rPr>
            </w:pPr>
            <w:r>
              <w:rPr>
                <w:rFonts w:hint="eastAsia" w:ascii="宋体" w:hAnsi="宋体" w:cs="宋体"/>
                <w:szCs w:val="21"/>
              </w:rPr>
              <w:t>1.投标人在人员的综合素质和人员配置合理性非常优秀，所提供的具有</w:t>
            </w:r>
            <w:r>
              <w:rPr>
                <w:rFonts w:hint="eastAsia" w:ascii="宋体" w:hAnsi="宋体" w:cs="宋体"/>
                <w:kern w:val="0"/>
                <w:szCs w:val="21"/>
                <w:lang w:bidi="ar"/>
              </w:rPr>
              <w:t>人民调解员证书的</w:t>
            </w:r>
            <w:r>
              <w:rPr>
                <w:rFonts w:hint="eastAsia" w:ascii="宋体" w:hAnsi="宋体" w:cs="宋体"/>
                <w:szCs w:val="21"/>
              </w:rPr>
              <w:t>人数达到总人数（12人）的70%及以上的(得15分)；</w:t>
            </w:r>
          </w:p>
          <w:p>
            <w:pPr>
              <w:spacing w:line="400" w:lineRule="exact"/>
              <w:rPr>
                <w:rFonts w:ascii="宋体" w:hAnsi="宋体" w:cs="宋体"/>
                <w:szCs w:val="21"/>
              </w:rPr>
            </w:pPr>
            <w:r>
              <w:rPr>
                <w:rFonts w:hint="eastAsia" w:ascii="宋体" w:hAnsi="宋体" w:cs="宋体"/>
                <w:szCs w:val="21"/>
              </w:rPr>
              <w:t>2.投标人在人员的综合素质和人员配置合理性较好，所提供的具有</w:t>
            </w:r>
            <w:r>
              <w:rPr>
                <w:rFonts w:hint="eastAsia" w:ascii="宋体" w:hAnsi="宋体" w:cs="宋体"/>
                <w:kern w:val="0"/>
                <w:szCs w:val="21"/>
                <w:lang w:bidi="ar"/>
              </w:rPr>
              <w:t>人民调解员证书的</w:t>
            </w:r>
            <w:r>
              <w:rPr>
                <w:rFonts w:hint="eastAsia" w:ascii="宋体" w:hAnsi="宋体" w:cs="宋体"/>
                <w:szCs w:val="21"/>
              </w:rPr>
              <w:t>人数达到总人数（12人）的50%-70%（不含），的(得10分)；</w:t>
            </w:r>
          </w:p>
          <w:p>
            <w:pPr>
              <w:spacing w:line="400" w:lineRule="exact"/>
              <w:rPr>
                <w:rFonts w:ascii="宋体" w:hAnsi="宋体" w:cs="宋体"/>
                <w:szCs w:val="21"/>
              </w:rPr>
            </w:pPr>
            <w:r>
              <w:rPr>
                <w:rFonts w:hint="eastAsia" w:ascii="宋体" w:hAnsi="宋体" w:cs="宋体"/>
                <w:szCs w:val="21"/>
              </w:rPr>
              <w:t>3.投标人在人员的综合素质和人员配置合理性一般，所提供的具有</w:t>
            </w:r>
            <w:r>
              <w:rPr>
                <w:rFonts w:hint="eastAsia" w:ascii="宋体" w:hAnsi="宋体" w:cs="宋体"/>
                <w:kern w:val="0"/>
                <w:szCs w:val="21"/>
                <w:lang w:bidi="ar"/>
              </w:rPr>
              <w:t>人民调解员证书的</w:t>
            </w:r>
            <w:r>
              <w:rPr>
                <w:rFonts w:hint="eastAsia" w:ascii="宋体" w:hAnsi="宋体" w:cs="宋体"/>
                <w:szCs w:val="21"/>
              </w:rPr>
              <w:t>人数达到总人数（12人）30%-50%的(得5分)；</w:t>
            </w:r>
          </w:p>
          <w:p>
            <w:pPr>
              <w:spacing w:line="400" w:lineRule="exact"/>
              <w:rPr>
                <w:rFonts w:ascii="宋体" w:hAnsi="宋体" w:cs="宋体"/>
                <w:szCs w:val="21"/>
              </w:rPr>
            </w:pPr>
            <w:r>
              <w:rPr>
                <w:rFonts w:hint="eastAsia" w:ascii="宋体" w:hAnsi="宋体" w:cs="宋体"/>
                <w:szCs w:val="21"/>
              </w:rPr>
              <w:t>4.投标人在人员的综合素质和人员配置合理性一般，所提供的具有</w:t>
            </w:r>
            <w:r>
              <w:rPr>
                <w:rFonts w:hint="eastAsia" w:ascii="宋体" w:hAnsi="宋体" w:cs="宋体"/>
                <w:kern w:val="0"/>
                <w:szCs w:val="21"/>
                <w:lang w:bidi="ar"/>
              </w:rPr>
              <w:t>人民调解员证书的</w:t>
            </w:r>
            <w:r>
              <w:rPr>
                <w:rFonts w:hint="eastAsia" w:ascii="宋体" w:hAnsi="宋体" w:cs="宋体"/>
                <w:szCs w:val="21"/>
              </w:rPr>
              <w:t>人数达到总人数（12人）低于30%的（不含）（得1分）；</w:t>
            </w:r>
          </w:p>
          <w:p>
            <w:pPr>
              <w:spacing w:line="400" w:lineRule="exact"/>
              <w:rPr>
                <w:rFonts w:ascii="宋体" w:hAnsi="宋体" w:cs="宋体"/>
                <w:szCs w:val="21"/>
              </w:rPr>
            </w:pPr>
            <w:r>
              <w:rPr>
                <w:rFonts w:hint="eastAsia" w:ascii="宋体" w:hAnsi="宋体" w:cs="宋体"/>
                <w:szCs w:val="21"/>
              </w:rPr>
              <w:t>注：以投标人提供的以上人员</w:t>
            </w:r>
            <w:r>
              <w:rPr>
                <w:rFonts w:hint="eastAsia" w:ascii="宋体" w:hAnsi="宋体" w:cs="宋体"/>
                <w:kern w:val="0"/>
                <w:szCs w:val="21"/>
                <w:lang w:bidi="ar"/>
              </w:rPr>
              <w:t>调解员证书及</w:t>
            </w:r>
            <w:r>
              <w:rPr>
                <w:rFonts w:hint="eastAsia" w:ascii="宋体" w:hAnsi="宋体" w:cs="宋体"/>
                <w:szCs w:val="21"/>
              </w:rPr>
              <w:t>劳动合同及为准，未提供的不得分。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6" w:type="dxa"/>
            <w:vMerge w:val="continue"/>
            <w:vAlign w:val="center"/>
          </w:tcPr>
          <w:p>
            <w:pPr>
              <w:spacing w:line="300" w:lineRule="exact"/>
              <w:jc w:val="center"/>
              <w:rPr>
                <w:rFonts w:ascii="宋体" w:hAnsi="宋体" w:cs="宋体"/>
                <w:szCs w:val="21"/>
              </w:rPr>
            </w:pPr>
          </w:p>
        </w:tc>
        <w:tc>
          <w:tcPr>
            <w:tcW w:w="1277" w:type="dxa"/>
            <w:vMerge w:val="continue"/>
            <w:vAlign w:val="center"/>
          </w:tcPr>
          <w:p>
            <w:pPr>
              <w:jc w:val="center"/>
              <w:rPr>
                <w:rFonts w:ascii="宋体" w:hAnsi="宋体" w:cs="宋体"/>
                <w:kern w:val="0"/>
                <w:szCs w:val="21"/>
              </w:rPr>
            </w:pPr>
          </w:p>
        </w:tc>
        <w:tc>
          <w:tcPr>
            <w:tcW w:w="709" w:type="dxa"/>
            <w:vAlign w:val="center"/>
          </w:tcPr>
          <w:p>
            <w:pPr>
              <w:spacing w:line="300" w:lineRule="exact"/>
              <w:jc w:val="center"/>
              <w:rPr>
                <w:rFonts w:ascii="宋体" w:hAnsi="宋体" w:cs="宋体"/>
                <w:szCs w:val="21"/>
              </w:rPr>
            </w:pPr>
            <w:r>
              <w:rPr>
                <w:rFonts w:hint="eastAsia" w:ascii="宋体" w:hAnsi="宋体" w:cs="宋体"/>
                <w:szCs w:val="21"/>
              </w:rPr>
              <w:t>10分</w:t>
            </w:r>
          </w:p>
        </w:tc>
        <w:tc>
          <w:tcPr>
            <w:tcW w:w="6280" w:type="dxa"/>
            <w:vAlign w:val="center"/>
          </w:tcPr>
          <w:p>
            <w:pPr>
              <w:spacing w:line="400" w:lineRule="exact"/>
              <w:rPr>
                <w:rFonts w:ascii="宋体" w:hAnsi="宋体" w:cs="宋体"/>
              </w:rPr>
            </w:pPr>
            <w:r>
              <w:rPr>
                <w:rFonts w:hint="eastAsia"/>
              </w:rPr>
              <w:t>投标人具</w:t>
            </w:r>
            <w:r>
              <w:rPr>
                <w:rFonts w:hint="eastAsia" w:ascii="宋体" w:hAnsi="宋体" w:cs="宋体"/>
              </w:rPr>
              <w:t>备充足的人员，用于及时更换工作达不到要求或认为不适合的服务人员。在本项目要求的12人的基础上，每具有1个储备人员加2分，最多加10分。须明确注明此部分为储备人员。</w:t>
            </w:r>
          </w:p>
          <w:p>
            <w:pPr>
              <w:pStyle w:val="20"/>
              <w:spacing w:after="0" w:line="400" w:lineRule="exact"/>
            </w:pPr>
            <w:r>
              <w:rPr>
                <w:rFonts w:hint="eastAsia" w:ascii="宋体" w:hAnsi="宋体" w:cs="宋体"/>
                <w:szCs w:val="21"/>
              </w:rPr>
              <w:t>注：以投标人提供的以上人员</w:t>
            </w:r>
            <w:r>
              <w:rPr>
                <w:rFonts w:hint="eastAsia" w:ascii="宋体" w:hAnsi="宋体" w:cs="宋体"/>
                <w:kern w:val="0"/>
                <w:szCs w:val="21"/>
                <w:lang w:bidi="ar"/>
              </w:rPr>
              <w:t>调解员证书及</w:t>
            </w:r>
            <w:r>
              <w:rPr>
                <w:rFonts w:hint="eastAsia" w:ascii="宋体" w:hAnsi="宋体" w:cs="宋体"/>
                <w:szCs w:val="21"/>
              </w:rPr>
              <w:t>劳动合同及为准，未提供的不得分。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16" w:type="dxa"/>
            <w:vMerge w:val="continue"/>
            <w:vAlign w:val="center"/>
          </w:tcPr>
          <w:p>
            <w:pPr>
              <w:spacing w:line="300" w:lineRule="exact"/>
              <w:jc w:val="center"/>
              <w:rPr>
                <w:rFonts w:ascii="宋体" w:hAnsi="宋体" w:cs="宋体"/>
                <w:szCs w:val="21"/>
              </w:rPr>
            </w:pPr>
          </w:p>
        </w:tc>
        <w:tc>
          <w:tcPr>
            <w:tcW w:w="1277" w:type="dxa"/>
            <w:vAlign w:val="center"/>
          </w:tcPr>
          <w:p>
            <w:pPr>
              <w:jc w:val="center"/>
              <w:rPr>
                <w:rFonts w:ascii="宋体" w:hAnsi="宋体" w:cs="宋体"/>
                <w:szCs w:val="21"/>
              </w:rPr>
            </w:pPr>
            <w:r>
              <w:rPr>
                <w:rFonts w:hint="eastAsia" w:ascii="宋体" w:hAnsi="宋体" w:cs="宋体"/>
                <w:kern w:val="0"/>
                <w:szCs w:val="21"/>
              </w:rPr>
              <w:t>业绩</w:t>
            </w:r>
          </w:p>
        </w:tc>
        <w:tc>
          <w:tcPr>
            <w:tcW w:w="709" w:type="dxa"/>
            <w:vAlign w:val="center"/>
          </w:tcPr>
          <w:p>
            <w:pPr>
              <w:spacing w:line="300" w:lineRule="exact"/>
              <w:jc w:val="center"/>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分</w:t>
            </w:r>
          </w:p>
        </w:tc>
        <w:tc>
          <w:tcPr>
            <w:tcW w:w="6280" w:type="dxa"/>
            <w:vAlign w:val="center"/>
          </w:tcPr>
          <w:p>
            <w:pPr>
              <w:spacing w:line="400" w:lineRule="exact"/>
              <w:rPr>
                <w:rFonts w:ascii="宋体" w:hAnsi="宋体" w:cs="宋体"/>
                <w:szCs w:val="21"/>
              </w:rPr>
            </w:pPr>
            <w:r>
              <w:rPr>
                <w:rFonts w:hint="eastAsia" w:ascii="宋体" w:hAnsi="宋体" w:cs="宋体"/>
                <w:szCs w:val="21"/>
              </w:rPr>
              <w:t>每提供一份近五年（自2019年1月1日）类似项目业绩（以合同签订日为准）得</w:t>
            </w:r>
            <w:r>
              <w:rPr>
                <w:rFonts w:hint="eastAsia" w:ascii="宋体" w:hAnsi="宋体" w:cs="宋体"/>
                <w:szCs w:val="21"/>
                <w:lang w:val="en-US" w:eastAsia="zh-CN"/>
              </w:rPr>
              <w:t>1</w:t>
            </w:r>
            <w:r>
              <w:rPr>
                <w:rFonts w:hint="eastAsia" w:ascii="宋体" w:hAnsi="宋体" w:cs="宋体"/>
                <w:szCs w:val="21"/>
              </w:rPr>
              <w:t>分，最高得</w:t>
            </w:r>
            <w:r>
              <w:rPr>
                <w:rFonts w:hint="eastAsia" w:ascii="宋体" w:hAnsi="宋体" w:cs="宋体"/>
                <w:szCs w:val="21"/>
                <w:lang w:val="en-US" w:eastAsia="zh-CN"/>
              </w:rPr>
              <w:t>5</w:t>
            </w:r>
            <w:r>
              <w:rPr>
                <w:rFonts w:hint="eastAsia" w:ascii="宋体" w:hAnsi="宋体" w:cs="宋体"/>
                <w:szCs w:val="21"/>
              </w:rPr>
              <w:t>分；</w:t>
            </w:r>
          </w:p>
          <w:p>
            <w:pPr>
              <w:spacing w:line="400" w:lineRule="exact"/>
              <w:rPr>
                <w:rFonts w:ascii="宋体" w:hAnsi="宋体" w:cs="宋体"/>
                <w:bCs/>
                <w:szCs w:val="21"/>
              </w:rPr>
            </w:pPr>
            <w:r>
              <w:rPr>
                <w:rFonts w:hint="eastAsia" w:ascii="宋体" w:hAnsi="宋体" w:cs="宋体"/>
                <w:szCs w:val="21"/>
              </w:rPr>
              <w:t>注：以所提供的合同为准，未提供的本项不得分。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16" w:type="dxa"/>
            <w:vMerge w:val="continue"/>
            <w:vAlign w:val="center"/>
          </w:tcPr>
          <w:p>
            <w:pPr>
              <w:spacing w:line="300" w:lineRule="exact"/>
              <w:jc w:val="center"/>
              <w:rPr>
                <w:rFonts w:ascii="宋体" w:hAnsi="宋体" w:cs="宋体"/>
                <w:szCs w:val="21"/>
              </w:rPr>
            </w:pPr>
          </w:p>
        </w:tc>
        <w:tc>
          <w:tcPr>
            <w:tcW w:w="1277" w:type="dxa"/>
            <w:vAlign w:val="center"/>
          </w:tcPr>
          <w:p>
            <w:pPr>
              <w:jc w:val="center"/>
              <w:rPr>
                <w:rFonts w:ascii="宋体" w:hAnsi="宋体" w:cs="宋体"/>
                <w:bCs/>
                <w:szCs w:val="21"/>
              </w:rPr>
            </w:pPr>
            <w:r>
              <w:rPr>
                <w:rFonts w:hint="eastAsia" w:ascii="宋体" w:hAnsi="宋体" w:cs="宋体"/>
                <w:bCs/>
                <w:szCs w:val="21"/>
              </w:rPr>
              <w:t>增值服务</w:t>
            </w:r>
          </w:p>
        </w:tc>
        <w:tc>
          <w:tcPr>
            <w:tcW w:w="709" w:type="dxa"/>
            <w:vAlign w:val="center"/>
          </w:tcPr>
          <w:p>
            <w:pPr>
              <w:jc w:val="center"/>
              <w:rPr>
                <w:rFonts w:ascii="宋体" w:hAnsi="宋体" w:cs="宋体"/>
                <w:bCs/>
                <w:szCs w:val="21"/>
              </w:rPr>
            </w:pPr>
            <w:r>
              <w:rPr>
                <w:rFonts w:hint="eastAsia" w:ascii="宋体" w:hAnsi="宋体" w:cs="宋体"/>
                <w:bCs/>
                <w:szCs w:val="21"/>
              </w:rPr>
              <w:t>5</w:t>
            </w:r>
            <w:r>
              <w:rPr>
                <w:rFonts w:hint="eastAsia" w:ascii="宋体" w:hAnsi="宋体" w:cs="宋体"/>
                <w:szCs w:val="21"/>
              </w:rPr>
              <w:t>分</w:t>
            </w:r>
          </w:p>
        </w:tc>
        <w:tc>
          <w:tcPr>
            <w:tcW w:w="6280" w:type="dxa"/>
          </w:tcPr>
          <w:p>
            <w:pPr>
              <w:spacing w:line="400" w:lineRule="exact"/>
              <w:rPr>
                <w:rFonts w:ascii="宋体" w:hAnsi="宋体" w:cs="宋体"/>
                <w:szCs w:val="21"/>
              </w:rPr>
            </w:pPr>
            <w:r>
              <w:rPr>
                <w:rFonts w:hint="eastAsia" w:ascii="宋体" w:hAnsi="宋体" w:cs="宋体"/>
                <w:szCs w:val="21"/>
              </w:rPr>
              <w:t>为采购人提供的优于本项目采购需求的增值服务，每提供一项评审小组认为切实可行的服务项目得2.5分，最多得5分。未提供的不得分。</w:t>
            </w:r>
          </w:p>
        </w:tc>
      </w:tr>
    </w:tbl>
    <w:p>
      <w:pPr>
        <w:adjustRightInd w:val="0"/>
        <w:snapToGrid w:val="0"/>
        <w:spacing w:line="360" w:lineRule="auto"/>
        <w:ind w:firstLine="420"/>
        <w:rPr>
          <w:rFonts w:ascii="宋体" w:hAnsi="宋体"/>
          <w:sz w:val="24"/>
        </w:rPr>
      </w:pPr>
    </w:p>
    <w:p>
      <w:pPr>
        <w:adjustRightInd w:val="0"/>
        <w:snapToGrid w:val="0"/>
        <w:spacing w:line="360" w:lineRule="auto"/>
        <w:ind w:firstLine="420"/>
        <w:rPr>
          <w:rFonts w:ascii="宋体" w:hAnsi="宋体"/>
          <w:sz w:val="24"/>
        </w:rPr>
      </w:pPr>
      <w:r>
        <w:rPr>
          <w:rFonts w:hint="eastAsia" w:ascii="宋体" w:hAnsi="宋体"/>
          <w:sz w:val="24"/>
        </w:rPr>
        <w:t>注：</w:t>
      </w:r>
    </w:p>
    <w:p>
      <w:pPr>
        <w:tabs>
          <w:tab w:val="left" w:pos="360"/>
        </w:tabs>
        <w:spacing w:line="360" w:lineRule="auto"/>
        <w:ind w:firstLine="480" w:firstLineChars="200"/>
        <w:rPr>
          <w:rFonts w:ascii="宋体" w:hAnsi="宋体"/>
          <w:sz w:val="24"/>
        </w:rPr>
      </w:pPr>
      <w:r>
        <w:rPr>
          <w:rFonts w:hint="eastAsia" w:ascii="宋体" w:hAnsi="宋体"/>
          <w:sz w:val="24"/>
        </w:rPr>
        <w:t>1、保留小数点后两位（按四舍五入原则）。</w:t>
      </w:r>
    </w:p>
    <w:p>
      <w:pPr>
        <w:tabs>
          <w:tab w:val="left" w:pos="360"/>
        </w:tabs>
        <w:spacing w:line="360" w:lineRule="auto"/>
        <w:ind w:firstLine="480" w:firstLineChars="200"/>
        <w:rPr>
          <w:rFonts w:ascii="宋体" w:hAnsi="宋体"/>
          <w:sz w:val="24"/>
        </w:rPr>
      </w:pPr>
      <w:r>
        <w:rPr>
          <w:rFonts w:hint="eastAsia" w:ascii="宋体" w:hAnsi="宋体"/>
          <w:sz w:val="24"/>
        </w:rPr>
        <w:t>2、综合得分最高的供应商将被推荐为中标候选人。</w:t>
      </w:r>
    </w:p>
    <w:p>
      <w:pPr>
        <w:tabs>
          <w:tab w:val="left" w:pos="360"/>
        </w:tabs>
        <w:spacing w:line="360" w:lineRule="auto"/>
        <w:ind w:firstLine="480" w:firstLineChars="200"/>
        <w:rPr>
          <w:rFonts w:ascii="宋体" w:hAnsi="宋体"/>
          <w:sz w:val="24"/>
        </w:rPr>
      </w:pPr>
      <w:r>
        <w:rPr>
          <w:rFonts w:hint="eastAsia" w:ascii="宋体" w:hAnsi="宋体"/>
          <w:sz w:val="24"/>
        </w:rPr>
        <w:t>3、如果供应商综合得分相同，按下列顺序确定中标候选人。</w:t>
      </w:r>
    </w:p>
    <w:p>
      <w:pPr>
        <w:tabs>
          <w:tab w:val="left" w:pos="360"/>
        </w:tabs>
        <w:spacing w:line="360" w:lineRule="auto"/>
        <w:ind w:firstLine="600" w:firstLineChars="250"/>
        <w:rPr>
          <w:rFonts w:ascii="宋体" w:hAnsi="宋体"/>
          <w:sz w:val="24"/>
        </w:rPr>
      </w:pPr>
      <w:r>
        <w:rPr>
          <w:rFonts w:hint="eastAsia" w:ascii="宋体" w:hAnsi="宋体"/>
          <w:sz w:val="24"/>
        </w:rPr>
        <w:t>（1）投标价低的；</w:t>
      </w:r>
    </w:p>
    <w:p>
      <w:pPr>
        <w:tabs>
          <w:tab w:val="left" w:pos="360"/>
        </w:tabs>
        <w:spacing w:line="360" w:lineRule="auto"/>
        <w:ind w:firstLine="600" w:firstLineChars="250"/>
        <w:rPr>
          <w:rFonts w:ascii="宋体" w:hAnsi="宋体"/>
          <w:sz w:val="24"/>
        </w:rPr>
      </w:pPr>
      <w:r>
        <w:rPr>
          <w:rFonts w:hint="eastAsia" w:ascii="宋体" w:hAnsi="宋体"/>
          <w:sz w:val="24"/>
        </w:rPr>
        <w:t>（2）技术得分高的；</w:t>
      </w:r>
    </w:p>
    <w:p>
      <w:pPr>
        <w:tabs>
          <w:tab w:val="left" w:pos="360"/>
        </w:tabs>
        <w:spacing w:line="360" w:lineRule="auto"/>
        <w:ind w:firstLine="600" w:firstLineChars="250"/>
        <w:rPr>
          <w:rFonts w:ascii="宋体" w:hAnsi="宋体"/>
          <w:sz w:val="24"/>
        </w:rPr>
      </w:pPr>
      <w:r>
        <w:rPr>
          <w:rFonts w:hint="eastAsia" w:ascii="宋体" w:hAnsi="宋体"/>
          <w:sz w:val="24"/>
        </w:rPr>
        <w:t>（3）商务得分高的；</w:t>
      </w:r>
    </w:p>
    <w:p>
      <w:pPr>
        <w:tabs>
          <w:tab w:val="left" w:pos="360"/>
        </w:tabs>
        <w:spacing w:line="360" w:lineRule="auto"/>
        <w:ind w:firstLine="480" w:firstLineChars="200"/>
        <w:rPr>
          <w:rFonts w:ascii="宋体" w:hAnsi="宋体"/>
          <w:sz w:val="24"/>
        </w:rPr>
      </w:pPr>
      <w:r>
        <w:rPr>
          <w:rFonts w:hint="eastAsia" w:ascii="宋体" w:hAnsi="宋体"/>
          <w:sz w:val="24"/>
        </w:rPr>
        <w:t>4、供应商在投标时须提供与以上评分因素相关的材料。如果发现有弄虚作假的，将取消其投标资格。</w:t>
      </w:r>
    </w:p>
    <w:p>
      <w:pPr>
        <w:tabs>
          <w:tab w:val="left" w:pos="360"/>
        </w:tabs>
        <w:spacing w:line="360" w:lineRule="auto"/>
        <w:ind w:firstLine="480" w:firstLineChars="200"/>
        <w:rPr>
          <w:rFonts w:ascii="宋体" w:hAnsi="宋体"/>
          <w:sz w:val="24"/>
        </w:rPr>
      </w:pPr>
      <w:r>
        <w:rPr>
          <w:rFonts w:hint="eastAsia" w:ascii="宋体" w:hAnsi="宋体"/>
          <w:sz w:val="24"/>
        </w:rPr>
        <w:t>5、保密要求：从开标时起到中标公告发布时止，有关投标响应文件的审查、澄清、评估和比较以及有关授予合同的意向的一切情况都不得透露给供应商或与上述评审工作无关的人员。</w:t>
      </w:r>
    </w:p>
    <w:p>
      <w:pPr>
        <w:rPr>
          <w:rFonts w:ascii="宋体" w:hAnsi="宋体"/>
          <w:bCs/>
          <w:sz w:val="28"/>
          <w:szCs w:val="28"/>
        </w:rPr>
      </w:pPr>
      <w:r>
        <w:rPr>
          <w:rFonts w:hint="eastAsia" w:ascii="宋体" w:hAnsi="宋体"/>
          <w:bCs/>
          <w:sz w:val="28"/>
          <w:szCs w:val="28"/>
        </w:rPr>
        <w:br w:type="page"/>
      </w:r>
    </w:p>
    <w:p>
      <w:pPr>
        <w:snapToGrid w:val="0"/>
        <w:rPr>
          <w:rFonts w:ascii="宋体" w:hAnsi="宋体"/>
          <w:bCs/>
          <w:sz w:val="28"/>
          <w:szCs w:val="28"/>
        </w:rPr>
      </w:pPr>
    </w:p>
    <w:p>
      <w:pPr>
        <w:snapToGrid w:val="0"/>
        <w:rPr>
          <w:rFonts w:ascii="宋体" w:hAnsi="宋体"/>
          <w:bCs/>
          <w:sz w:val="28"/>
          <w:szCs w:val="28"/>
        </w:rPr>
      </w:pPr>
      <w:r>
        <w:rPr>
          <w:rFonts w:hint="eastAsia" w:ascii="宋体" w:hAnsi="宋体"/>
          <w:bCs/>
          <w:sz w:val="28"/>
          <w:szCs w:val="28"/>
        </w:rPr>
        <w:t>附件2：</w:t>
      </w:r>
    </w:p>
    <w:p>
      <w:pPr>
        <w:jc w:val="center"/>
        <w:rPr>
          <w:rFonts w:ascii="宋体" w:hAnsi="宋体"/>
          <w:b/>
          <w:sz w:val="36"/>
          <w:szCs w:val="36"/>
        </w:rPr>
      </w:pPr>
      <w:r>
        <w:rPr>
          <w:rFonts w:hint="eastAsia" w:ascii="宋体" w:hAnsi="宋体"/>
          <w:b/>
          <w:sz w:val="36"/>
          <w:szCs w:val="36"/>
        </w:rPr>
        <w:t>资格性审查表</w:t>
      </w:r>
    </w:p>
    <w:tbl>
      <w:tblPr>
        <w:tblStyle w:val="23"/>
        <w:tblW w:w="52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5009"/>
        <w:gridCol w:w="974"/>
        <w:gridCol w:w="1039"/>
        <w:gridCol w:w="1039"/>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99" w:type="pct"/>
            <w:vMerge w:val="restart"/>
            <w:vAlign w:val="center"/>
          </w:tcPr>
          <w:p>
            <w:pPr>
              <w:rPr>
                <w:rFonts w:ascii="宋体" w:hAnsi="宋体"/>
                <w:b/>
                <w:bCs/>
                <w:sz w:val="24"/>
              </w:rPr>
            </w:pPr>
            <w:r>
              <w:rPr>
                <w:rFonts w:hint="eastAsia" w:ascii="宋体" w:hAnsi="宋体" w:cs="宋体"/>
                <w:b/>
                <w:bCs/>
                <w:sz w:val="24"/>
              </w:rPr>
              <w:t>序号</w:t>
            </w:r>
          </w:p>
        </w:tc>
        <w:tc>
          <w:tcPr>
            <w:tcW w:w="2560" w:type="pct"/>
            <w:vMerge w:val="restart"/>
            <w:vAlign w:val="center"/>
          </w:tcPr>
          <w:p>
            <w:pPr>
              <w:jc w:val="center"/>
              <w:rPr>
                <w:rFonts w:ascii="宋体" w:hAnsi="宋体"/>
                <w:b/>
                <w:bCs/>
                <w:sz w:val="24"/>
              </w:rPr>
            </w:pPr>
            <w:r>
              <w:rPr>
                <w:rFonts w:hint="eastAsia" w:ascii="宋体" w:hAnsi="宋体" w:cs="宋体"/>
                <w:b/>
                <w:bCs/>
                <w:sz w:val="24"/>
              </w:rPr>
              <w:t>审查内容</w:t>
            </w:r>
          </w:p>
        </w:tc>
        <w:tc>
          <w:tcPr>
            <w:tcW w:w="2041" w:type="pct"/>
            <w:gridSpan w:val="4"/>
            <w:vAlign w:val="center"/>
          </w:tcPr>
          <w:p>
            <w:pPr>
              <w:jc w:val="center"/>
              <w:rPr>
                <w:rFonts w:ascii="宋体" w:hAnsi="宋体"/>
                <w:b/>
                <w:bCs/>
                <w:sz w:val="24"/>
              </w:rPr>
            </w:pPr>
            <w:r>
              <w:rPr>
                <w:rFonts w:hint="eastAsia" w:ascii="宋体" w:hAnsi="宋体" w:cs="宋体"/>
                <w:b/>
                <w:bCs/>
                <w:sz w:val="24"/>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399" w:type="pct"/>
            <w:vMerge w:val="continue"/>
            <w:vAlign w:val="center"/>
          </w:tcPr>
          <w:p>
            <w:pPr>
              <w:ind w:firstLine="482"/>
              <w:jc w:val="center"/>
              <w:rPr>
                <w:rFonts w:ascii="宋体" w:hAnsi="宋体"/>
                <w:b/>
                <w:bCs/>
                <w:sz w:val="24"/>
              </w:rPr>
            </w:pPr>
          </w:p>
        </w:tc>
        <w:tc>
          <w:tcPr>
            <w:tcW w:w="2560" w:type="pct"/>
            <w:vMerge w:val="continue"/>
            <w:vAlign w:val="center"/>
          </w:tcPr>
          <w:p>
            <w:pPr>
              <w:ind w:firstLine="482"/>
              <w:rPr>
                <w:rFonts w:ascii="宋体" w:hAnsi="宋体"/>
                <w:b/>
                <w:bCs/>
                <w:sz w:val="24"/>
              </w:rPr>
            </w:pPr>
          </w:p>
        </w:tc>
        <w:tc>
          <w:tcPr>
            <w:tcW w:w="498" w:type="pct"/>
            <w:vAlign w:val="center"/>
          </w:tcPr>
          <w:p>
            <w:pPr>
              <w:ind w:firstLine="482"/>
              <w:jc w:val="center"/>
              <w:rPr>
                <w:rFonts w:ascii="宋体" w:hAnsi="宋体"/>
                <w:b/>
                <w:bCs/>
                <w:sz w:val="24"/>
              </w:rPr>
            </w:pPr>
          </w:p>
        </w:tc>
        <w:tc>
          <w:tcPr>
            <w:tcW w:w="531" w:type="pct"/>
            <w:vAlign w:val="center"/>
          </w:tcPr>
          <w:p>
            <w:pPr>
              <w:ind w:firstLine="482"/>
              <w:jc w:val="center"/>
              <w:rPr>
                <w:rFonts w:ascii="宋体" w:hAnsi="宋体"/>
                <w:b/>
                <w:bCs/>
                <w:sz w:val="24"/>
              </w:rPr>
            </w:pPr>
          </w:p>
        </w:tc>
        <w:tc>
          <w:tcPr>
            <w:tcW w:w="531" w:type="pct"/>
            <w:vAlign w:val="center"/>
          </w:tcPr>
          <w:p>
            <w:pPr>
              <w:ind w:firstLine="482"/>
              <w:jc w:val="center"/>
              <w:rPr>
                <w:rFonts w:ascii="宋体" w:hAnsi="宋体"/>
                <w:b/>
                <w:bCs/>
                <w:sz w:val="24"/>
              </w:rPr>
            </w:pPr>
          </w:p>
        </w:tc>
        <w:tc>
          <w:tcPr>
            <w:tcW w:w="480" w:type="pct"/>
            <w:vAlign w:val="center"/>
          </w:tcPr>
          <w:p>
            <w:pPr>
              <w:ind w:firstLine="482"/>
              <w:jc w:val="cente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99" w:type="pct"/>
            <w:vAlign w:val="center"/>
          </w:tcPr>
          <w:p>
            <w:pPr>
              <w:adjustRightInd w:val="0"/>
              <w:snapToGrid w:val="0"/>
              <w:jc w:val="center"/>
              <w:rPr>
                <w:rFonts w:ascii="宋体" w:hAnsi="宋体"/>
                <w:sz w:val="24"/>
              </w:rPr>
            </w:pPr>
            <w:r>
              <w:rPr>
                <w:rFonts w:ascii="宋体" w:hAnsi="宋体"/>
                <w:sz w:val="24"/>
              </w:rPr>
              <w:t>1</w:t>
            </w:r>
          </w:p>
        </w:tc>
        <w:tc>
          <w:tcPr>
            <w:tcW w:w="2560" w:type="pct"/>
            <w:vAlign w:val="center"/>
          </w:tcPr>
          <w:p>
            <w:pPr>
              <w:snapToGrid w:val="0"/>
              <w:spacing w:line="400" w:lineRule="exact"/>
              <w:jc w:val="left"/>
              <w:rPr>
                <w:rFonts w:ascii="宋体" w:hAnsi="宋体"/>
                <w:sz w:val="24"/>
              </w:rPr>
            </w:pPr>
            <w:r>
              <w:rPr>
                <w:rFonts w:hint="eastAsia" w:ascii="宋体" w:hAnsi="宋体" w:cs="宋体"/>
                <w:sz w:val="24"/>
              </w:rPr>
              <w:t>营业执照符合要求情况</w:t>
            </w:r>
          </w:p>
        </w:tc>
        <w:tc>
          <w:tcPr>
            <w:tcW w:w="498" w:type="pct"/>
            <w:vAlign w:val="center"/>
          </w:tcPr>
          <w:p>
            <w:pPr>
              <w:adjustRightInd w:val="0"/>
              <w:snapToGrid w:val="0"/>
              <w:ind w:firstLine="480"/>
              <w:jc w:val="center"/>
              <w:rPr>
                <w:rFonts w:ascii="宋体" w:hAnsi="宋体"/>
                <w:sz w:val="24"/>
              </w:rPr>
            </w:pPr>
          </w:p>
        </w:tc>
        <w:tc>
          <w:tcPr>
            <w:tcW w:w="531" w:type="pct"/>
            <w:vAlign w:val="center"/>
          </w:tcPr>
          <w:p>
            <w:pPr>
              <w:ind w:firstLine="480"/>
              <w:jc w:val="center"/>
              <w:rPr>
                <w:rFonts w:ascii="宋体" w:hAnsi="宋体"/>
                <w:sz w:val="24"/>
              </w:rPr>
            </w:pPr>
          </w:p>
        </w:tc>
        <w:tc>
          <w:tcPr>
            <w:tcW w:w="531" w:type="pct"/>
            <w:vAlign w:val="center"/>
          </w:tcPr>
          <w:p>
            <w:pPr>
              <w:ind w:firstLine="480"/>
              <w:jc w:val="center"/>
              <w:rPr>
                <w:rFonts w:ascii="宋体" w:hAnsi="宋体"/>
                <w:sz w:val="24"/>
              </w:rPr>
            </w:pPr>
          </w:p>
        </w:tc>
        <w:tc>
          <w:tcPr>
            <w:tcW w:w="480" w:type="pct"/>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99" w:type="pct"/>
            <w:vAlign w:val="center"/>
          </w:tcPr>
          <w:p>
            <w:pPr>
              <w:snapToGrid w:val="0"/>
              <w:spacing w:line="400" w:lineRule="exact"/>
              <w:jc w:val="left"/>
              <w:rPr>
                <w:rFonts w:ascii="宋体" w:hAnsi="宋体" w:cs="宋体"/>
                <w:sz w:val="24"/>
              </w:rPr>
            </w:pPr>
            <w:r>
              <w:rPr>
                <w:rFonts w:hint="eastAsia" w:ascii="宋体" w:hAnsi="宋体" w:cs="宋体"/>
                <w:sz w:val="24"/>
              </w:rPr>
              <w:t>2</w:t>
            </w:r>
          </w:p>
        </w:tc>
        <w:tc>
          <w:tcPr>
            <w:tcW w:w="2560" w:type="pct"/>
            <w:vAlign w:val="center"/>
          </w:tcPr>
          <w:p>
            <w:pPr>
              <w:snapToGrid w:val="0"/>
              <w:spacing w:line="400" w:lineRule="exact"/>
              <w:jc w:val="left"/>
              <w:rPr>
                <w:rFonts w:ascii="宋体" w:hAnsi="宋体" w:cs="宋体"/>
                <w:sz w:val="24"/>
              </w:rPr>
            </w:pPr>
            <w:r>
              <w:rPr>
                <w:rFonts w:hint="eastAsia" w:ascii="宋体" w:hAnsi="宋体" w:cs="宋体"/>
                <w:sz w:val="24"/>
              </w:rPr>
              <w:t>信用记录符合要求情况（以代理公司查询为准）</w:t>
            </w:r>
          </w:p>
        </w:tc>
        <w:tc>
          <w:tcPr>
            <w:tcW w:w="498" w:type="pct"/>
            <w:vAlign w:val="center"/>
          </w:tcPr>
          <w:p>
            <w:pPr>
              <w:adjustRightInd w:val="0"/>
              <w:snapToGrid w:val="0"/>
              <w:ind w:firstLine="480"/>
              <w:jc w:val="center"/>
              <w:rPr>
                <w:rFonts w:ascii="宋体" w:hAnsi="宋体"/>
                <w:sz w:val="24"/>
              </w:rPr>
            </w:pPr>
          </w:p>
        </w:tc>
        <w:tc>
          <w:tcPr>
            <w:tcW w:w="531" w:type="pct"/>
            <w:vAlign w:val="center"/>
          </w:tcPr>
          <w:p>
            <w:pPr>
              <w:ind w:firstLine="480"/>
              <w:jc w:val="center"/>
              <w:rPr>
                <w:rFonts w:ascii="宋体" w:hAnsi="宋体"/>
                <w:sz w:val="24"/>
              </w:rPr>
            </w:pPr>
          </w:p>
        </w:tc>
        <w:tc>
          <w:tcPr>
            <w:tcW w:w="531" w:type="pct"/>
            <w:vAlign w:val="center"/>
          </w:tcPr>
          <w:p>
            <w:pPr>
              <w:ind w:firstLine="480"/>
              <w:jc w:val="center"/>
              <w:rPr>
                <w:rFonts w:ascii="宋体" w:hAnsi="宋体"/>
                <w:sz w:val="24"/>
              </w:rPr>
            </w:pPr>
          </w:p>
        </w:tc>
        <w:tc>
          <w:tcPr>
            <w:tcW w:w="480" w:type="pct"/>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99" w:type="pct"/>
            <w:vAlign w:val="center"/>
          </w:tcPr>
          <w:p>
            <w:pPr>
              <w:snapToGrid w:val="0"/>
              <w:spacing w:line="400" w:lineRule="exact"/>
              <w:jc w:val="left"/>
              <w:rPr>
                <w:rFonts w:ascii="宋体" w:hAnsi="宋体" w:cs="宋体"/>
                <w:sz w:val="24"/>
              </w:rPr>
            </w:pPr>
            <w:r>
              <w:rPr>
                <w:rFonts w:hint="eastAsia" w:ascii="宋体" w:hAnsi="宋体" w:cs="宋体"/>
                <w:sz w:val="24"/>
              </w:rPr>
              <w:t>3</w:t>
            </w:r>
          </w:p>
        </w:tc>
        <w:tc>
          <w:tcPr>
            <w:tcW w:w="2560" w:type="pct"/>
            <w:vAlign w:val="center"/>
          </w:tcPr>
          <w:p>
            <w:pPr>
              <w:snapToGrid w:val="0"/>
              <w:spacing w:line="400" w:lineRule="exact"/>
              <w:jc w:val="left"/>
              <w:rPr>
                <w:rFonts w:ascii="宋体" w:hAnsi="宋体" w:cs="宋体"/>
                <w:sz w:val="24"/>
              </w:rPr>
            </w:pPr>
            <w:r>
              <w:rPr>
                <w:rFonts w:hint="eastAsia" w:ascii="宋体" w:hAnsi="宋体" w:cs="宋体"/>
                <w:sz w:val="24"/>
              </w:rPr>
              <w:t>重大违法记录查询情况</w:t>
            </w:r>
          </w:p>
        </w:tc>
        <w:tc>
          <w:tcPr>
            <w:tcW w:w="498" w:type="pct"/>
            <w:vAlign w:val="center"/>
          </w:tcPr>
          <w:p>
            <w:pPr>
              <w:adjustRightInd w:val="0"/>
              <w:snapToGrid w:val="0"/>
              <w:ind w:firstLine="480"/>
              <w:jc w:val="center"/>
              <w:rPr>
                <w:rFonts w:ascii="宋体" w:hAnsi="宋体"/>
                <w:sz w:val="24"/>
              </w:rPr>
            </w:pPr>
          </w:p>
        </w:tc>
        <w:tc>
          <w:tcPr>
            <w:tcW w:w="531" w:type="pct"/>
            <w:vAlign w:val="center"/>
          </w:tcPr>
          <w:p>
            <w:pPr>
              <w:adjustRightInd w:val="0"/>
              <w:snapToGrid w:val="0"/>
              <w:ind w:firstLine="480"/>
              <w:jc w:val="center"/>
              <w:rPr>
                <w:rFonts w:ascii="宋体" w:hAnsi="宋体"/>
                <w:sz w:val="24"/>
              </w:rPr>
            </w:pPr>
          </w:p>
        </w:tc>
        <w:tc>
          <w:tcPr>
            <w:tcW w:w="531" w:type="pct"/>
            <w:vAlign w:val="center"/>
          </w:tcPr>
          <w:p>
            <w:pPr>
              <w:adjustRightInd w:val="0"/>
              <w:snapToGrid w:val="0"/>
              <w:ind w:firstLine="480"/>
              <w:jc w:val="center"/>
              <w:rPr>
                <w:rFonts w:ascii="宋体" w:hAnsi="宋体"/>
                <w:sz w:val="24"/>
              </w:rPr>
            </w:pPr>
          </w:p>
        </w:tc>
        <w:tc>
          <w:tcPr>
            <w:tcW w:w="480" w:type="pct"/>
            <w:vAlign w:val="center"/>
          </w:tcPr>
          <w:p>
            <w:pPr>
              <w:adjustRightInd w:val="0"/>
              <w:snapToGrid w:val="0"/>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99" w:type="pct"/>
            <w:vAlign w:val="center"/>
          </w:tcPr>
          <w:p>
            <w:pPr>
              <w:snapToGrid w:val="0"/>
              <w:spacing w:line="400" w:lineRule="exact"/>
              <w:jc w:val="left"/>
              <w:rPr>
                <w:rFonts w:ascii="宋体" w:hAnsi="宋体" w:cs="宋体"/>
                <w:sz w:val="24"/>
              </w:rPr>
            </w:pPr>
            <w:r>
              <w:rPr>
                <w:rFonts w:hint="eastAsia" w:ascii="宋体" w:hAnsi="宋体" w:cs="宋体"/>
                <w:sz w:val="24"/>
              </w:rPr>
              <w:t>4</w:t>
            </w:r>
          </w:p>
        </w:tc>
        <w:tc>
          <w:tcPr>
            <w:tcW w:w="2560" w:type="pct"/>
            <w:vAlign w:val="center"/>
          </w:tcPr>
          <w:p>
            <w:pPr>
              <w:snapToGrid w:val="0"/>
              <w:spacing w:line="400" w:lineRule="exact"/>
              <w:jc w:val="left"/>
              <w:rPr>
                <w:rFonts w:ascii="宋体" w:hAnsi="宋体" w:cs="宋体"/>
                <w:sz w:val="24"/>
              </w:rPr>
            </w:pPr>
            <w:r>
              <w:rPr>
                <w:rFonts w:hint="eastAsia" w:ascii="宋体" w:hAnsi="宋体" w:cs="宋体"/>
                <w:sz w:val="24"/>
              </w:rPr>
              <w:t>投标人无重大违法记录声明情况</w:t>
            </w:r>
          </w:p>
        </w:tc>
        <w:tc>
          <w:tcPr>
            <w:tcW w:w="498" w:type="pct"/>
            <w:vAlign w:val="center"/>
          </w:tcPr>
          <w:p>
            <w:pPr>
              <w:adjustRightInd w:val="0"/>
              <w:snapToGrid w:val="0"/>
              <w:ind w:firstLine="480"/>
              <w:jc w:val="center"/>
              <w:rPr>
                <w:rFonts w:ascii="宋体" w:hAnsi="宋体"/>
                <w:sz w:val="24"/>
              </w:rPr>
            </w:pPr>
          </w:p>
        </w:tc>
        <w:tc>
          <w:tcPr>
            <w:tcW w:w="531" w:type="pct"/>
            <w:vAlign w:val="center"/>
          </w:tcPr>
          <w:p>
            <w:pPr>
              <w:adjustRightInd w:val="0"/>
              <w:snapToGrid w:val="0"/>
              <w:ind w:firstLine="480"/>
              <w:jc w:val="center"/>
              <w:rPr>
                <w:rFonts w:ascii="宋体" w:hAnsi="宋体"/>
                <w:sz w:val="24"/>
              </w:rPr>
            </w:pPr>
          </w:p>
        </w:tc>
        <w:tc>
          <w:tcPr>
            <w:tcW w:w="531" w:type="pct"/>
            <w:vAlign w:val="center"/>
          </w:tcPr>
          <w:p>
            <w:pPr>
              <w:adjustRightInd w:val="0"/>
              <w:snapToGrid w:val="0"/>
              <w:ind w:firstLine="480"/>
              <w:jc w:val="center"/>
              <w:rPr>
                <w:rFonts w:ascii="宋体" w:hAnsi="宋体"/>
                <w:sz w:val="24"/>
              </w:rPr>
            </w:pPr>
          </w:p>
        </w:tc>
        <w:tc>
          <w:tcPr>
            <w:tcW w:w="480" w:type="pct"/>
            <w:vAlign w:val="center"/>
          </w:tcPr>
          <w:p>
            <w:pPr>
              <w:adjustRightInd w:val="0"/>
              <w:snapToGrid w:val="0"/>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99" w:type="pct"/>
            <w:vAlign w:val="center"/>
          </w:tcPr>
          <w:p>
            <w:pPr>
              <w:snapToGrid w:val="0"/>
              <w:spacing w:line="400" w:lineRule="exact"/>
              <w:jc w:val="left"/>
              <w:rPr>
                <w:rFonts w:ascii="宋体" w:hAnsi="宋体" w:cs="宋体"/>
                <w:sz w:val="24"/>
              </w:rPr>
            </w:pPr>
            <w:r>
              <w:rPr>
                <w:rFonts w:hint="eastAsia" w:ascii="宋体" w:hAnsi="宋体" w:cs="宋体"/>
                <w:sz w:val="24"/>
              </w:rPr>
              <w:t>5</w:t>
            </w:r>
          </w:p>
        </w:tc>
        <w:tc>
          <w:tcPr>
            <w:tcW w:w="2560" w:type="pct"/>
            <w:vAlign w:val="center"/>
          </w:tcPr>
          <w:p>
            <w:pPr>
              <w:snapToGrid w:val="0"/>
              <w:spacing w:line="400" w:lineRule="exact"/>
              <w:jc w:val="left"/>
              <w:rPr>
                <w:rFonts w:ascii="宋体" w:hAnsi="宋体" w:cs="宋体"/>
                <w:sz w:val="24"/>
              </w:rPr>
            </w:pPr>
            <w:r>
              <w:rPr>
                <w:rFonts w:hint="eastAsia" w:ascii="宋体" w:hAnsi="宋体" w:cs="宋体"/>
                <w:sz w:val="24"/>
              </w:rPr>
              <w:t>符合《中华人民共和国政府采购法》第二十二条规定的承诺书符合要求情况</w:t>
            </w:r>
          </w:p>
        </w:tc>
        <w:tc>
          <w:tcPr>
            <w:tcW w:w="498" w:type="pct"/>
            <w:vAlign w:val="center"/>
          </w:tcPr>
          <w:p>
            <w:pPr>
              <w:adjustRightInd w:val="0"/>
              <w:snapToGrid w:val="0"/>
              <w:ind w:firstLine="480"/>
              <w:jc w:val="center"/>
              <w:rPr>
                <w:rFonts w:ascii="宋体" w:hAnsi="宋体"/>
                <w:sz w:val="24"/>
              </w:rPr>
            </w:pPr>
          </w:p>
        </w:tc>
        <w:tc>
          <w:tcPr>
            <w:tcW w:w="531" w:type="pct"/>
            <w:vAlign w:val="center"/>
          </w:tcPr>
          <w:p>
            <w:pPr>
              <w:adjustRightInd w:val="0"/>
              <w:snapToGrid w:val="0"/>
              <w:ind w:firstLine="480"/>
              <w:jc w:val="center"/>
              <w:rPr>
                <w:rFonts w:ascii="宋体" w:hAnsi="宋体"/>
                <w:sz w:val="24"/>
              </w:rPr>
            </w:pPr>
          </w:p>
        </w:tc>
        <w:tc>
          <w:tcPr>
            <w:tcW w:w="531" w:type="pct"/>
            <w:vAlign w:val="center"/>
          </w:tcPr>
          <w:p>
            <w:pPr>
              <w:adjustRightInd w:val="0"/>
              <w:snapToGrid w:val="0"/>
              <w:ind w:firstLine="480"/>
              <w:jc w:val="center"/>
              <w:rPr>
                <w:rFonts w:ascii="宋体" w:hAnsi="宋体"/>
                <w:sz w:val="24"/>
              </w:rPr>
            </w:pPr>
          </w:p>
        </w:tc>
        <w:tc>
          <w:tcPr>
            <w:tcW w:w="480" w:type="pct"/>
            <w:vAlign w:val="center"/>
          </w:tcPr>
          <w:p>
            <w:pPr>
              <w:adjustRightInd w:val="0"/>
              <w:snapToGrid w:val="0"/>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99" w:type="pct"/>
            <w:vAlign w:val="center"/>
          </w:tcPr>
          <w:p>
            <w:pPr>
              <w:snapToGrid w:val="0"/>
              <w:spacing w:line="400" w:lineRule="exact"/>
              <w:jc w:val="left"/>
              <w:rPr>
                <w:rFonts w:ascii="宋体" w:hAnsi="宋体" w:cs="宋体"/>
                <w:sz w:val="24"/>
              </w:rPr>
            </w:pPr>
            <w:r>
              <w:rPr>
                <w:rFonts w:hint="eastAsia" w:ascii="宋体" w:hAnsi="宋体" w:cs="宋体"/>
                <w:sz w:val="24"/>
              </w:rPr>
              <w:t>6</w:t>
            </w:r>
          </w:p>
        </w:tc>
        <w:tc>
          <w:tcPr>
            <w:tcW w:w="2560" w:type="pct"/>
            <w:vAlign w:val="center"/>
          </w:tcPr>
          <w:p>
            <w:pPr>
              <w:snapToGrid w:val="0"/>
              <w:spacing w:line="400" w:lineRule="exact"/>
              <w:jc w:val="left"/>
              <w:rPr>
                <w:rFonts w:ascii="宋体" w:hAnsi="宋体" w:cs="宋体"/>
                <w:sz w:val="24"/>
              </w:rPr>
            </w:pPr>
            <w:r>
              <w:rPr>
                <w:rFonts w:hint="eastAsia" w:ascii="宋体" w:hAnsi="宋体" w:cs="宋体"/>
                <w:sz w:val="24"/>
              </w:rPr>
              <w:t>中小企业投标符合要求情况</w:t>
            </w:r>
          </w:p>
        </w:tc>
        <w:tc>
          <w:tcPr>
            <w:tcW w:w="498" w:type="pct"/>
            <w:vAlign w:val="center"/>
          </w:tcPr>
          <w:p>
            <w:pPr>
              <w:adjustRightInd w:val="0"/>
              <w:snapToGrid w:val="0"/>
              <w:ind w:firstLine="480"/>
              <w:jc w:val="center"/>
              <w:rPr>
                <w:rFonts w:ascii="宋体" w:hAnsi="宋体"/>
                <w:sz w:val="24"/>
              </w:rPr>
            </w:pPr>
          </w:p>
        </w:tc>
        <w:tc>
          <w:tcPr>
            <w:tcW w:w="531" w:type="pct"/>
            <w:vAlign w:val="center"/>
          </w:tcPr>
          <w:p>
            <w:pPr>
              <w:adjustRightInd w:val="0"/>
              <w:snapToGrid w:val="0"/>
              <w:ind w:firstLine="480"/>
              <w:jc w:val="center"/>
              <w:rPr>
                <w:rFonts w:ascii="宋体" w:hAnsi="宋体"/>
                <w:sz w:val="24"/>
              </w:rPr>
            </w:pPr>
          </w:p>
        </w:tc>
        <w:tc>
          <w:tcPr>
            <w:tcW w:w="531" w:type="pct"/>
            <w:vAlign w:val="center"/>
          </w:tcPr>
          <w:p>
            <w:pPr>
              <w:adjustRightInd w:val="0"/>
              <w:snapToGrid w:val="0"/>
              <w:ind w:firstLine="480"/>
              <w:jc w:val="center"/>
              <w:rPr>
                <w:rFonts w:ascii="宋体" w:hAnsi="宋体"/>
                <w:sz w:val="24"/>
              </w:rPr>
            </w:pPr>
          </w:p>
        </w:tc>
        <w:tc>
          <w:tcPr>
            <w:tcW w:w="480" w:type="pct"/>
            <w:vAlign w:val="center"/>
          </w:tcPr>
          <w:p>
            <w:pPr>
              <w:adjustRightInd w:val="0"/>
              <w:snapToGrid w:val="0"/>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959" w:type="pct"/>
            <w:gridSpan w:val="2"/>
            <w:vAlign w:val="center"/>
          </w:tcPr>
          <w:p>
            <w:pPr>
              <w:adjustRightInd w:val="0"/>
              <w:snapToGrid w:val="0"/>
              <w:ind w:firstLine="432"/>
              <w:jc w:val="center"/>
              <w:rPr>
                <w:rFonts w:ascii="宋体" w:hAnsi="宋体"/>
                <w:spacing w:val="-12"/>
                <w:sz w:val="24"/>
              </w:rPr>
            </w:pPr>
            <w:r>
              <w:rPr>
                <w:rFonts w:hint="eastAsia" w:ascii="宋体" w:hAnsi="宋体" w:cs="宋体"/>
                <w:spacing w:val="-12"/>
                <w:sz w:val="24"/>
              </w:rPr>
              <w:t>审查结论</w:t>
            </w:r>
          </w:p>
        </w:tc>
        <w:tc>
          <w:tcPr>
            <w:tcW w:w="498" w:type="pct"/>
            <w:vAlign w:val="center"/>
          </w:tcPr>
          <w:p>
            <w:pPr>
              <w:adjustRightInd w:val="0"/>
              <w:snapToGrid w:val="0"/>
              <w:ind w:firstLine="480"/>
              <w:jc w:val="center"/>
              <w:rPr>
                <w:rFonts w:ascii="宋体" w:hAnsi="宋体"/>
                <w:sz w:val="24"/>
              </w:rPr>
            </w:pPr>
          </w:p>
        </w:tc>
        <w:tc>
          <w:tcPr>
            <w:tcW w:w="531" w:type="pct"/>
            <w:vAlign w:val="center"/>
          </w:tcPr>
          <w:p>
            <w:pPr>
              <w:adjustRightInd w:val="0"/>
              <w:snapToGrid w:val="0"/>
              <w:ind w:firstLine="480"/>
              <w:jc w:val="center"/>
              <w:rPr>
                <w:rFonts w:ascii="宋体" w:hAnsi="宋体"/>
                <w:sz w:val="24"/>
              </w:rPr>
            </w:pPr>
          </w:p>
        </w:tc>
        <w:tc>
          <w:tcPr>
            <w:tcW w:w="531" w:type="pct"/>
            <w:vAlign w:val="center"/>
          </w:tcPr>
          <w:p>
            <w:pPr>
              <w:adjustRightInd w:val="0"/>
              <w:snapToGrid w:val="0"/>
              <w:ind w:firstLine="480"/>
              <w:jc w:val="center"/>
              <w:rPr>
                <w:rFonts w:ascii="宋体" w:hAnsi="宋体"/>
                <w:sz w:val="24"/>
              </w:rPr>
            </w:pPr>
          </w:p>
        </w:tc>
        <w:tc>
          <w:tcPr>
            <w:tcW w:w="480" w:type="pct"/>
            <w:vAlign w:val="center"/>
          </w:tcPr>
          <w:p>
            <w:pPr>
              <w:adjustRightInd w:val="0"/>
              <w:snapToGrid w:val="0"/>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399" w:type="pct"/>
            <w:vAlign w:val="center"/>
          </w:tcPr>
          <w:p>
            <w:pPr>
              <w:adjustRightInd w:val="0"/>
              <w:snapToGrid w:val="0"/>
              <w:jc w:val="center"/>
              <w:rPr>
                <w:rFonts w:ascii="宋体" w:hAnsi="宋体" w:cs="宋体"/>
                <w:sz w:val="24"/>
              </w:rPr>
            </w:pPr>
            <w:r>
              <w:rPr>
                <w:rFonts w:hint="eastAsia" w:ascii="宋体" w:hAnsi="宋体" w:cs="宋体"/>
                <w:sz w:val="24"/>
              </w:rPr>
              <w:t>审</w:t>
            </w:r>
          </w:p>
          <w:p>
            <w:pPr>
              <w:adjustRightInd w:val="0"/>
              <w:snapToGrid w:val="0"/>
              <w:jc w:val="center"/>
              <w:rPr>
                <w:rFonts w:ascii="宋体" w:hAnsi="宋体" w:cs="宋体"/>
                <w:sz w:val="24"/>
              </w:rPr>
            </w:pPr>
            <w:r>
              <w:rPr>
                <w:rFonts w:hint="eastAsia" w:ascii="宋体" w:hAnsi="宋体" w:cs="宋体"/>
                <w:sz w:val="24"/>
              </w:rPr>
              <w:t>查</w:t>
            </w:r>
          </w:p>
          <w:p>
            <w:pPr>
              <w:adjustRightInd w:val="0"/>
              <w:snapToGrid w:val="0"/>
              <w:jc w:val="center"/>
              <w:rPr>
                <w:rFonts w:ascii="宋体" w:hAnsi="宋体" w:cs="宋体"/>
                <w:sz w:val="24"/>
              </w:rPr>
            </w:pPr>
            <w:r>
              <w:rPr>
                <w:rFonts w:hint="eastAsia" w:ascii="宋体" w:hAnsi="宋体" w:cs="宋体"/>
                <w:sz w:val="24"/>
              </w:rPr>
              <w:t>人</w:t>
            </w:r>
          </w:p>
          <w:p>
            <w:pPr>
              <w:adjustRightInd w:val="0"/>
              <w:snapToGrid w:val="0"/>
              <w:jc w:val="center"/>
              <w:rPr>
                <w:rFonts w:ascii="宋体" w:hAnsi="宋体" w:cs="宋体"/>
                <w:sz w:val="24"/>
              </w:rPr>
            </w:pPr>
            <w:r>
              <w:rPr>
                <w:rFonts w:hint="eastAsia" w:ascii="宋体" w:hAnsi="宋体" w:cs="宋体"/>
                <w:sz w:val="24"/>
              </w:rPr>
              <w:t>员</w:t>
            </w:r>
          </w:p>
        </w:tc>
        <w:tc>
          <w:tcPr>
            <w:tcW w:w="4601" w:type="pct"/>
            <w:gridSpan w:val="5"/>
            <w:vAlign w:val="center"/>
          </w:tcPr>
          <w:p>
            <w:pPr>
              <w:adjustRightInd w:val="0"/>
              <w:snapToGrid w:val="0"/>
              <w:rPr>
                <w:rFonts w:ascii="宋体" w:hAnsi="宋体" w:cs="宋体"/>
                <w:sz w:val="24"/>
              </w:rPr>
            </w:pPr>
            <w:r>
              <w:rPr>
                <w:rFonts w:hint="eastAsia" w:ascii="宋体" w:hAnsi="宋体" w:cs="宋体"/>
                <w:sz w:val="24"/>
              </w:rPr>
              <w:t>备注：（有不符合项的，需在此处详细写明理由）</w:t>
            </w:r>
          </w:p>
          <w:p>
            <w:pPr>
              <w:adjustRightInd w:val="0"/>
              <w:snapToGrid w:val="0"/>
              <w:rPr>
                <w:rFonts w:ascii="宋体" w:hAnsi="宋体" w:cs="宋体"/>
                <w:sz w:val="24"/>
              </w:rPr>
            </w:pPr>
            <w:r>
              <w:rPr>
                <w:rFonts w:hint="eastAsia" w:ascii="宋体" w:hAnsi="宋体" w:cs="宋体"/>
                <w:sz w:val="24"/>
              </w:rPr>
              <w:t>审查人签字：</w:t>
            </w:r>
          </w:p>
          <w:p>
            <w:pPr>
              <w:adjustRightInd w:val="0"/>
              <w:snapToGrid w:val="0"/>
              <w:rPr>
                <w:rFonts w:ascii="宋体" w:hAnsi="宋体" w:cs="宋体"/>
                <w:sz w:val="24"/>
              </w:rPr>
            </w:pPr>
            <w:r>
              <w:rPr>
                <w:rFonts w:hint="eastAsia" w:ascii="宋体" w:hAnsi="宋体" w:cs="宋体"/>
                <w:sz w:val="24"/>
              </w:rPr>
              <w:t>审查人单位：</w:t>
            </w:r>
          </w:p>
        </w:tc>
      </w:tr>
    </w:tbl>
    <w:p>
      <w:pPr>
        <w:rPr>
          <w:rFonts w:ascii="宋体" w:hAnsi="宋体" w:cs="宋体"/>
          <w:b/>
        </w:rPr>
      </w:pPr>
      <w:r>
        <w:rPr>
          <w:rFonts w:hint="eastAsia" w:ascii="宋体" w:hAnsi="宋体" w:cs="宋体"/>
          <w:b/>
        </w:rPr>
        <w:t>注：1、审查情况或结论合格打√，不合格打×，不合格原因请在备注栏内注明。</w:t>
      </w:r>
    </w:p>
    <w:p>
      <w:pPr>
        <w:ind w:firstLine="422" w:firstLineChars="200"/>
        <w:rPr>
          <w:rFonts w:ascii="宋体" w:hAnsi="宋体" w:cs="宋体"/>
          <w:sz w:val="18"/>
          <w:szCs w:val="18"/>
        </w:rPr>
      </w:pPr>
      <w:r>
        <w:rPr>
          <w:rFonts w:hint="eastAsia" w:ascii="宋体" w:hAnsi="宋体" w:cs="宋体"/>
          <w:b/>
        </w:rPr>
        <w:t>2、认定投标响应文件无效的依据应属于《资格性审查表》、《符合性审查表》所列内容。《资格性审查表》、《符合性审查表》未列明的，不得作为认定投标响应文件无效的依据。（属于法律法规规定的投标响应文件无效的情形除外）</w:t>
      </w:r>
    </w:p>
    <w:p>
      <w:pPr>
        <w:jc w:val="center"/>
        <w:rPr>
          <w:rFonts w:ascii="宋体" w:hAnsi="宋体"/>
          <w:bCs/>
          <w:sz w:val="36"/>
          <w:szCs w:val="36"/>
        </w:rPr>
      </w:pPr>
      <w:r>
        <w:rPr>
          <w:rFonts w:cs="宋体"/>
          <w:sz w:val="22"/>
        </w:rPr>
        <w:br w:type="page"/>
      </w:r>
      <w:r>
        <w:rPr>
          <w:rFonts w:hint="eastAsia" w:ascii="宋体" w:hAnsi="宋体"/>
          <w:bCs/>
          <w:sz w:val="36"/>
          <w:szCs w:val="36"/>
        </w:rPr>
        <w:t>符合性审查表</w:t>
      </w:r>
    </w:p>
    <w:tbl>
      <w:tblPr>
        <w:tblStyle w:val="23"/>
        <w:tblW w:w="54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5895"/>
        <w:gridCol w:w="843"/>
        <w:gridCol w:w="849"/>
        <w:gridCol w:w="84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56" w:type="pct"/>
            <w:vMerge w:val="restart"/>
            <w:vAlign w:val="center"/>
          </w:tcPr>
          <w:p>
            <w:pPr>
              <w:jc w:val="center"/>
              <w:rPr>
                <w:rFonts w:ascii="宋体" w:hAnsi="宋体" w:cs="宋体"/>
                <w:b/>
                <w:sz w:val="24"/>
              </w:rPr>
            </w:pPr>
            <w:r>
              <w:rPr>
                <w:rFonts w:hint="eastAsia" w:ascii="宋体" w:hAnsi="宋体" w:cs="宋体"/>
                <w:b/>
                <w:sz w:val="24"/>
              </w:rPr>
              <w:t>序号</w:t>
            </w:r>
          </w:p>
        </w:tc>
        <w:tc>
          <w:tcPr>
            <w:tcW w:w="2932" w:type="pct"/>
            <w:vMerge w:val="restart"/>
            <w:vAlign w:val="center"/>
          </w:tcPr>
          <w:p>
            <w:pPr>
              <w:jc w:val="center"/>
              <w:rPr>
                <w:rFonts w:ascii="宋体" w:hAnsi="宋体" w:cs="宋体"/>
                <w:b/>
                <w:sz w:val="24"/>
              </w:rPr>
            </w:pPr>
            <w:r>
              <w:rPr>
                <w:rFonts w:hint="eastAsia" w:ascii="宋体" w:hAnsi="宋体" w:cs="宋体"/>
                <w:b/>
                <w:sz w:val="24"/>
              </w:rPr>
              <w:t>审查内容</w:t>
            </w:r>
          </w:p>
        </w:tc>
        <w:tc>
          <w:tcPr>
            <w:tcW w:w="1712" w:type="pct"/>
            <w:gridSpan w:val="4"/>
            <w:vAlign w:val="center"/>
          </w:tcPr>
          <w:p>
            <w:pPr>
              <w:jc w:val="center"/>
              <w:rPr>
                <w:rFonts w:ascii="宋体" w:hAnsi="宋体" w:cs="宋体"/>
                <w:b/>
                <w:sz w:val="24"/>
              </w:rPr>
            </w:pPr>
            <w:r>
              <w:rPr>
                <w:rFonts w:hint="eastAsia" w:ascii="宋体" w:hAnsi="宋体" w:cs="宋体"/>
                <w:b/>
                <w:sz w:val="24"/>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56" w:type="pct"/>
            <w:vMerge w:val="continue"/>
            <w:vAlign w:val="center"/>
          </w:tcPr>
          <w:p>
            <w:pPr>
              <w:jc w:val="center"/>
              <w:rPr>
                <w:rFonts w:ascii="宋体" w:hAnsi="宋体" w:cs="宋体"/>
                <w:b/>
                <w:sz w:val="24"/>
              </w:rPr>
            </w:pPr>
          </w:p>
        </w:tc>
        <w:tc>
          <w:tcPr>
            <w:tcW w:w="2932" w:type="pct"/>
            <w:vMerge w:val="continue"/>
            <w:vAlign w:val="center"/>
          </w:tcPr>
          <w:p>
            <w:pPr>
              <w:jc w:val="center"/>
              <w:rPr>
                <w:rFonts w:ascii="宋体" w:hAnsi="宋体" w:cs="宋体"/>
                <w:b/>
                <w:sz w:val="24"/>
              </w:rPr>
            </w:pPr>
          </w:p>
        </w:tc>
        <w:tc>
          <w:tcPr>
            <w:tcW w:w="419" w:type="pct"/>
            <w:vAlign w:val="center"/>
          </w:tcPr>
          <w:p>
            <w:pPr>
              <w:jc w:val="center"/>
              <w:rPr>
                <w:rFonts w:ascii="宋体" w:hAnsi="宋体" w:cs="宋体"/>
                <w:b/>
                <w:sz w:val="24"/>
              </w:rPr>
            </w:pPr>
          </w:p>
        </w:tc>
        <w:tc>
          <w:tcPr>
            <w:tcW w:w="422" w:type="pct"/>
            <w:vAlign w:val="center"/>
          </w:tcPr>
          <w:p>
            <w:pPr>
              <w:jc w:val="center"/>
              <w:rPr>
                <w:rFonts w:ascii="宋体" w:hAnsi="宋体" w:cs="宋体"/>
                <w:b/>
                <w:sz w:val="24"/>
              </w:rPr>
            </w:pPr>
          </w:p>
        </w:tc>
        <w:tc>
          <w:tcPr>
            <w:tcW w:w="420" w:type="pct"/>
            <w:vAlign w:val="center"/>
          </w:tcPr>
          <w:p>
            <w:pPr>
              <w:jc w:val="center"/>
              <w:rPr>
                <w:rFonts w:ascii="宋体" w:hAnsi="宋体" w:cs="宋体"/>
                <w:b/>
                <w:sz w:val="24"/>
              </w:rPr>
            </w:pPr>
          </w:p>
        </w:tc>
        <w:tc>
          <w:tcPr>
            <w:tcW w:w="450" w:type="pct"/>
            <w:vAlign w:val="center"/>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56" w:type="pct"/>
            <w:vAlign w:val="center"/>
          </w:tcPr>
          <w:p>
            <w:pPr>
              <w:jc w:val="center"/>
              <w:rPr>
                <w:rFonts w:ascii="宋体" w:hAnsi="宋体" w:cs="宋体"/>
                <w:sz w:val="24"/>
              </w:rPr>
            </w:pPr>
            <w:r>
              <w:rPr>
                <w:rFonts w:hint="eastAsia" w:ascii="宋体" w:hAnsi="宋体" w:cs="宋体"/>
                <w:sz w:val="24"/>
              </w:rPr>
              <w:t>1</w:t>
            </w:r>
          </w:p>
        </w:tc>
        <w:tc>
          <w:tcPr>
            <w:tcW w:w="2932" w:type="pct"/>
            <w:vAlign w:val="center"/>
          </w:tcPr>
          <w:p>
            <w:pPr>
              <w:pStyle w:val="7"/>
              <w:ind w:firstLine="0" w:firstLineChars="0"/>
              <w:rPr>
                <w:rFonts w:ascii="宋体" w:hAnsi="宋体"/>
                <w:sz w:val="24"/>
              </w:rPr>
            </w:pPr>
            <w:r>
              <w:rPr>
                <w:rFonts w:hint="eastAsia" w:ascii="宋体" w:hAnsi="宋体"/>
                <w:sz w:val="24"/>
              </w:rPr>
              <w:t>投标有效期满足招标文件要求。</w:t>
            </w:r>
          </w:p>
        </w:tc>
        <w:tc>
          <w:tcPr>
            <w:tcW w:w="419" w:type="pct"/>
            <w:vAlign w:val="center"/>
          </w:tcPr>
          <w:p>
            <w:pPr>
              <w:rPr>
                <w:rFonts w:ascii="宋体" w:hAnsi="宋体" w:cs="宋体"/>
                <w:sz w:val="24"/>
              </w:rPr>
            </w:pPr>
          </w:p>
        </w:tc>
        <w:tc>
          <w:tcPr>
            <w:tcW w:w="422" w:type="pct"/>
            <w:vAlign w:val="center"/>
          </w:tcPr>
          <w:p>
            <w:pPr>
              <w:rPr>
                <w:rFonts w:ascii="宋体" w:hAnsi="宋体" w:cs="宋体"/>
                <w:sz w:val="24"/>
              </w:rPr>
            </w:pPr>
          </w:p>
        </w:tc>
        <w:tc>
          <w:tcPr>
            <w:tcW w:w="420" w:type="pct"/>
            <w:vAlign w:val="center"/>
          </w:tcPr>
          <w:p>
            <w:pPr>
              <w:rPr>
                <w:rFonts w:ascii="宋体" w:hAnsi="宋体" w:cs="宋体"/>
                <w:sz w:val="24"/>
              </w:rPr>
            </w:pPr>
          </w:p>
        </w:tc>
        <w:tc>
          <w:tcPr>
            <w:tcW w:w="450" w:type="pct"/>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56" w:type="pct"/>
            <w:vAlign w:val="center"/>
          </w:tcPr>
          <w:p>
            <w:pPr>
              <w:jc w:val="center"/>
              <w:rPr>
                <w:rFonts w:ascii="宋体" w:hAnsi="宋体" w:cs="宋体"/>
                <w:sz w:val="24"/>
              </w:rPr>
            </w:pPr>
            <w:r>
              <w:rPr>
                <w:rFonts w:hint="eastAsia" w:ascii="宋体" w:hAnsi="宋体" w:cs="宋体"/>
                <w:sz w:val="24"/>
              </w:rPr>
              <w:t>2</w:t>
            </w:r>
          </w:p>
        </w:tc>
        <w:tc>
          <w:tcPr>
            <w:tcW w:w="2932" w:type="pct"/>
            <w:vAlign w:val="center"/>
          </w:tcPr>
          <w:p>
            <w:pPr>
              <w:pStyle w:val="7"/>
              <w:ind w:firstLine="0" w:firstLineChars="0"/>
              <w:rPr>
                <w:rFonts w:ascii="宋体" w:hAnsi="宋体"/>
                <w:sz w:val="24"/>
              </w:rPr>
            </w:pPr>
            <w:r>
              <w:rPr>
                <w:rFonts w:hint="eastAsia" w:ascii="宋体" w:hAnsi="宋体"/>
                <w:sz w:val="24"/>
              </w:rPr>
              <w:t>投标文件完整性符合招标文件实质性要求。</w:t>
            </w:r>
          </w:p>
        </w:tc>
        <w:tc>
          <w:tcPr>
            <w:tcW w:w="419" w:type="pct"/>
            <w:vAlign w:val="center"/>
          </w:tcPr>
          <w:p>
            <w:pPr>
              <w:rPr>
                <w:rFonts w:ascii="宋体" w:hAnsi="宋体" w:cs="宋体"/>
                <w:sz w:val="24"/>
              </w:rPr>
            </w:pPr>
          </w:p>
        </w:tc>
        <w:tc>
          <w:tcPr>
            <w:tcW w:w="422" w:type="pct"/>
            <w:vAlign w:val="center"/>
          </w:tcPr>
          <w:p>
            <w:pPr>
              <w:rPr>
                <w:rFonts w:ascii="宋体" w:hAnsi="宋体" w:cs="宋体"/>
                <w:sz w:val="24"/>
              </w:rPr>
            </w:pPr>
          </w:p>
        </w:tc>
        <w:tc>
          <w:tcPr>
            <w:tcW w:w="420" w:type="pct"/>
            <w:vAlign w:val="center"/>
          </w:tcPr>
          <w:p>
            <w:pPr>
              <w:rPr>
                <w:rFonts w:ascii="宋体" w:hAnsi="宋体" w:cs="宋体"/>
                <w:sz w:val="24"/>
              </w:rPr>
            </w:pPr>
          </w:p>
        </w:tc>
        <w:tc>
          <w:tcPr>
            <w:tcW w:w="450" w:type="pct"/>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56" w:type="pct"/>
            <w:vAlign w:val="center"/>
          </w:tcPr>
          <w:p>
            <w:pPr>
              <w:jc w:val="center"/>
              <w:rPr>
                <w:rFonts w:ascii="宋体" w:hAnsi="宋体" w:cs="宋体"/>
                <w:sz w:val="24"/>
              </w:rPr>
            </w:pPr>
            <w:r>
              <w:rPr>
                <w:rFonts w:hint="eastAsia" w:ascii="宋体" w:hAnsi="宋体" w:cs="宋体"/>
                <w:sz w:val="24"/>
              </w:rPr>
              <w:t>3</w:t>
            </w:r>
          </w:p>
        </w:tc>
        <w:tc>
          <w:tcPr>
            <w:tcW w:w="2932" w:type="pct"/>
            <w:vAlign w:val="center"/>
          </w:tcPr>
          <w:p>
            <w:pPr>
              <w:pStyle w:val="7"/>
              <w:ind w:firstLine="0" w:firstLineChars="0"/>
              <w:rPr>
                <w:rFonts w:ascii="宋体" w:hAnsi="宋体"/>
                <w:sz w:val="24"/>
              </w:rPr>
            </w:pPr>
            <w:r>
              <w:rPr>
                <w:rFonts w:hint="eastAsia" w:ascii="宋体" w:hAnsi="宋体"/>
                <w:sz w:val="24"/>
              </w:rPr>
              <w:t>投标文件签署情况符合招标文件实质性要求。</w:t>
            </w:r>
          </w:p>
        </w:tc>
        <w:tc>
          <w:tcPr>
            <w:tcW w:w="419" w:type="pct"/>
            <w:vAlign w:val="center"/>
          </w:tcPr>
          <w:p>
            <w:pPr>
              <w:rPr>
                <w:rFonts w:ascii="宋体" w:hAnsi="宋体" w:cs="宋体"/>
                <w:sz w:val="24"/>
              </w:rPr>
            </w:pPr>
          </w:p>
        </w:tc>
        <w:tc>
          <w:tcPr>
            <w:tcW w:w="422" w:type="pct"/>
            <w:vAlign w:val="center"/>
          </w:tcPr>
          <w:p>
            <w:pPr>
              <w:rPr>
                <w:rFonts w:ascii="宋体" w:hAnsi="宋体" w:cs="宋体"/>
                <w:sz w:val="24"/>
              </w:rPr>
            </w:pPr>
          </w:p>
        </w:tc>
        <w:tc>
          <w:tcPr>
            <w:tcW w:w="420" w:type="pct"/>
            <w:vAlign w:val="center"/>
          </w:tcPr>
          <w:p>
            <w:pPr>
              <w:rPr>
                <w:rFonts w:ascii="宋体" w:hAnsi="宋体" w:cs="宋体"/>
                <w:sz w:val="24"/>
              </w:rPr>
            </w:pPr>
          </w:p>
        </w:tc>
        <w:tc>
          <w:tcPr>
            <w:tcW w:w="450" w:type="pct"/>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56" w:type="pct"/>
            <w:vAlign w:val="center"/>
          </w:tcPr>
          <w:p>
            <w:pPr>
              <w:jc w:val="center"/>
              <w:rPr>
                <w:rFonts w:ascii="宋体" w:hAnsi="宋体" w:cs="宋体"/>
                <w:sz w:val="24"/>
              </w:rPr>
            </w:pPr>
            <w:r>
              <w:rPr>
                <w:rFonts w:hint="eastAsia" w:ascii="宋体" w:hAnsi="宋体" w:cs="宋体"/>
                <w:sz w:val="24"/>
              </w:rPr>
              <w:t>4</w:t>
            </w:r>
          </w:p>
        </w:tc>
        <w:tc>
          <w:tcPr>
            <w:tcW w:w="2932" w:type="pct"/>
            <w:vAlign w:val="center"/>
          </w:tcPr>
          <w:p>
            <w:pPr>
              <w:pStyle w:val="7"/>
              <w:ind w:firstLine="0" w:firstLineChars="0"/>
              <w:rPr>
                <w:rFonts w:ascii="宋体" w:hAnsi="宋体"/>
                <w:sz w:val="24"/>
              </w:rPr>
            </w:pPr>
            <w:r>
              <w:rPr>
                <w:rFonts w:hint="eastAsia" w:ascii="宋体" w:hAnsi="宋体"/>
                <w:sz w:val="24"/>
              </w:rPr>
              <w:t>按照招标文件规定报价，没有漏项。</w:t>
            </w:r>
          </w:p>
        </w:tc>
        <w:tc>
          <w:tcPr>
            <w:tcW w:w="419" w:type="pct"/>
            <w:vAlign w:val="center"/>
          </w:tcPr>
          <w:p>
            <w:pPr>
              <w:rPr>
                <w:rFonts w:ascii="宋体" w:hAnsi="宋体" w:cs="宋体"/>
                <w:sz w:val="24"/>
              </w:rPr>
            </w:pPr>
          </w:p>
        </w:tc>
        <w:tc>
          <w:tcPr>
            <w:tcW w:w="422" w:type="pct"/>
            <w:vAlign w:val="center"/>
          </w:tcPr>
          <w:p>
            <w:pPr>
              <w:rPr>
                <w:rFonts w:ascii="宋体" w:hAnsi="宋体" w:cs="宋体"/>
                <w:sz w:val="24"/>
              </w:rPr>
            </w:pPr>
          </w:p>
        </w:tc>
        <w:tc>
          <w:tcPr>
            <w:tcW w:w="420" w:type="pct"/>
            <w:vAlign w:val="center"/>
          </w:tcPr>
          <w:p>
            <w:pPr>
              <w:rPr>
                <w:rFonts w:ascii="宋体" w:hAnsi="宋体" w:cs="宋体"/>
                <w:sz w:val="24"/>
              </w:rPr>
            </w:pPr>
          </w:p>
        </w:tc>
        <w:tc>
          <w:tcPr>
            <w:tcW w:w="450" w:type="pct"/>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56" w:type="pct"/>
            <w:vAlign w:val="center"/>
          </w:tcPr>
          <w:p>
            <w:pPr>
              <w:jc w:val="center"/>
              <w:rPr>
                <w:rFonts w:ascii="宋体" w:hAnsi="宋体" w:cs="宋体"/>
                <w:sz w:val="24"/>
              </w:rPr>
            </w:pPr>
            <w:r>
              <w:rPr>
                <w:rFonts w:hint="eastAsia" w:ascii="宋体" w:hAnsi="宋体" w:cs="宋体"/>
                <w:sz w:val="24"/>
              </w:rPr>
              <w:t>5</w:t>
            </w:r>
          </w:p>
        </w:tc>
        <w:tc>
          <w:tcPr>
            <w:tcW w:w="2932" w:type="pct"/>
            <w:vAlign w:val="center"/>
          </w:tcPr>
          <w:p>
            <w:pPr>
              <w:pStyle w:val="7"/>
              <w:ind w:firstLine="0" w:firstLineChars="0"/>
              <w:rPr>
                <w:rFonts w:ascii="宋体" w:hAnsi="宋体"/>
                <w:sz w:val="24"/>
              </w:rPr>
            </w:pPr>
            <w:r>
              <w:rPr>
                <w:rFonts w:hint="eastAsia" w:ascii="宋体" w:hAnsi="宋体"/>
                <w:sz w:val="24"/>
              </w:rPr>
              <w:t>投标报价未超过招标文件中规定的预算金额或者最高限价。</w:t>
            </w:r>
          </w:p>
        </w:tc>
        <w:tc>
          <w:tcPr>
            <w:tcW w:w="419" w:type="pct"/>
            <w:vAlign w:val="center"/>
          </w:tcPr>
          <w:p>
            <w:pPr>
              <w:rPr>
                <w:rFonts w:ascii="宋体" w:hAnsi="宋体" w:cs="宋体"/>
                <w:sz w:val="24"/>
              </w:rPr>
            </w:pPr>
          </w:p>
        </w:tc>
        <w:tc>
          <w:tcPr>
            <w:tcW w:w="422" w:type="pct"/>
            <w:vAlign w:val="center"/>
          </w:tcPr>
          <w:p>
            <w:pPr>
              <w:rPr>
                <w:rFonts w:ascii="宋体" w:hAnsi="宋体" w:cs="宋体"/>
                <w:sz w:val="24"/>
              </w:rPr>
            </w:pPr>
          </w:p>
        </w:tc>
        <w:tc>
          <w:tcPr>
            <w:tcW w:w="420" w:type="pct"/>
            <w:vAlign w:val="center"/>
          </w:tcPr>
          <w:p>
            <w:pPr>
              <w:rPr>
                <w:rFonts w:ascii="宋体" w:hAnsi="宋体" w:cs="宋体"/>
                <w:sz w:val="24"/>
              </w:rPr>
            </w:pPr>
          </w:p>
        </w:tc>
        <w:tc>
          <w:tcPr>
            <w:tcW w:w="450" w:type="pct"/>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56" w:type="pct"/>
            <w:vAlign w:val="center"/>
          </w:tcPr>
          <w:p>
            <w:pPr>
              <w:jc w:val="center"/>
              <w:rPr>
                <w:rFonts w:ascii="宋体" w:hAnsi="宋体" w:cs="宋体"/>
                <w:sz w:val="24"/>
              </w:rPr>
            </w:pPr>
            <w:r>
              <w:rPr>
                <w:rFonts w:hint="eastAsia" w:ascii="宋体" w:hAnsi="宋体" w:cs="宋体"/>
                <w:sz w:val="24"/>
              </w:rPr>
              <w:t>6</w:t>
            </w:r>
          </w:p>
        </w:tc>
        <w:tc>
          <w:tcPr>
            <w:tcW w:w="2932" w:type="pct"/>
            <w:vAlign w:val="center"/>
          </w:tcPr>
          <w:p>
            <w:pPr>
              <w:rPr>
                <w:rFonts w:ascii="宋体" w:hAnsi="宋体" w:cs="宋体"/>
                <w:sz w:val="24"/>
              </w:rPr>
            </w:pPr>
            <w:r>
              <w:rPr>
                <w:rFonts w:hint="eastAsia" w:ascii="宋体" w:hAnsi="宋体" w:cs="宋体"/>
                <w:sz w:val="24"/>
              </w:rPr>
              <w:t>对“★”条款做出实质性响应，未发生重大偏离。</w:t>
            </w:r>
          </w:p>
        </w:tc>
        <w:tc>
          <w:tcPr>
            <w:tcW w:w="419" w:type="pct"/>
            <w:vAlign w:val="center"/>
          </w:tcPr>
          <w:p>
            <w:pPr>
              <w:rPr>
                <w:rFonts w:ascii="宋体" w:hAnsi="宋体" w:cs="宋体"/>
                <w:sz w:val="24"/>
              </w:rPr>
            </w:pPr>
          </w:p>
        </w:tc>
        <w:tc>
          <w:tcPr>
            <w:tcW w:w="422" w:type="pct"/>
            <w:vAlign w:val="center"/>
          </w:tcPr>
          <w:p>
            <w:pPr>
              <w:rPr>
                <w:rFonts w:ascii="宋体" w:hAnsi="宋体" w:cs="宋体"/>
                <w:sz w:val="24"/>
              </w:rPr>
            </w:pPr>
          </w:p>
        </w:tc>
        <w:tc>
          <w:tcPr>
            <w:tcW w:w="420" w:type="pct"/>
            <w:vAlign w:val="center"/>
          </w:tcPr>
          <w:p>
            <w:pPr>
              <w:rPr>
                <w:rFonts w:ascii="宋体" w:hAnsi="宋体" w:cs="宋体"/>
                <w:sz w:val="24"/>
              </w:rPr>
            </w:pPr>
          </w:p>
        </w:tc>
        <w:tc>
          <w:tcPr>
            <w:tcW w:w="450" w:type="pct"/>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56" w:type="pct"/>
            <w:vAlign w:val="center"/>
          </w:tcPr>
          <w:p>
            <w:pPr>
              <w:jc w:val="center"/>
              <w:rPr>
                <w:rFonts w:ascii="宋体" w:hAnsi="宋体" w:cs="宋体"/>
                <w:sz w:val="24"/>
              </w:rPr>
            </w:pPr>
            <w:r>
              <w:rPr>
                <w:rFonts w:hint="eastAsia" w:ascii="宋体" w:hAnsi="宋体" w:cs="宋体"/>
                <w:sz w:val="24"/>
              </w:rPr>
              <w:t>7</w:t>
            </w:r>
          </w:p>
        </w:tc>
        <w:tc>
          <w:tcPr>
            <w:tcW w:w="2932" w:type="pct"/>
            <w:vAlign w:val="center"/>
          </w:tcPr>
          <w:p>
            <w:pPr>
              <w:pStyle w:val="7"/>
              <w:ind w:firstLine="0" w:firstLineChars="0"/>
              <w:jc w:val="left"/>
              <w:rPr>
                <w:rFonts w:ascii="宋体" w:hAnsi="宋体"/>
                <w:sz w:val="24"/>
              </w:rPr>
            </w:pPr>
            <w:r>
              <w:rPr>
                <w:rFonts w:hint="eastAsia" w:ascii="宋体" w:hAnsi="宋体"/>
                <w:sz w:val="24"/>
              </w:rPr>
              <w:t>未发现投标人涂改证明材料或者提供虚假材料。</w:t>
            </w:r>
          </w:p>
        </w:tc>
        <w:tc>
          <w:tcPr>
            <w:tcW w:w="419" w:type="pct"/>
            <w:vAlign w:val="center"/>
          </w:tcPr>
          <w:p>
            <w:pPr>
              <w:rPr>
                <w:rFonts w:ascii="宋体" w:hAnsi="宋体" w:cs="宋体"/>
                <w:sz w:val="24"/>
              </w:rPr>
            </w:pPr>
          </w:p>
        </w:tc>
        <w:tc>
          <w:tcPr>
            <w:tcW w:w="422" w:type="pct"/>
            <w:vAlign w:val="center"/>
          </w:tcPr>
          <w:p>
            <w:pPr>
              <w:rPr>
                <w:rFonts w:ascii="宋体" w:hAnsi="宋体" w:cs="宋体"/>
                <w:sz w:val="24"/>
              </w:rPr>
            </w:pPr>
          </w:p>
        </w:tc>
        <w:tc>
          <w:tcPr>
            <w:tcW w:w="420" w:type="pct"/>
            <w:vAlign w:val="center"/>
          </w:tcPr>
          <w:p>
            <w:pPr>
              <w:rPr>
                <w:rFonts w:ascii="宋体" w:hAnsi="宋体" w:cs="宋体"/>
                <w:sz w:val="24"/>
              </w:rPr>
            </w:pPr>
          </w:p>
        </w:tc>
        <w:tc>
          <w:tcPr>
            <w:tcW w:w="450" w:type="pct"/>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56" w:type="pct"/>
            <w:vAlign w:val="center"/>
          </w:tcPr>
          <w:p>
            <w:pPr>
              <w:jc w:val="center"/>
              <w:rPr>
                <w:rFonts w:ascii="宋体" w:hAnsi="宋体" w:cs="宋体"/>
                <w:sz w:val="24"/>
              </w:rPr>
            </w:pPr>
            <w:r>
              <w:rPr>
                <w:rFonts w:hint="eastAsia" w:ascii="宋体" w:hAnsi="宋体" w:cs="宋体"/>
                <w:sz w:val="24"/>
              </w:rPr>
              <w:t>8</w:t>
            </w:r>
          </w:p>
        </w:tc>
        <w:tc>
          <w:tcPr>
            <w:tcW w:w="2932" w:type="pct"/>
            <w:vAlign w:val="center"/>
          </w:tcPr>
          <w:p>
            <w:pPr>
              <w:pStyle w:val="7"/>
              <w:ind w:firstLine="0" w:firstLineChars="0"/>
              <w:rPr>
                <w:rFonts w:ascii="宋体" w:hAnsi="宋体"/>
                <w:sz w:val="24"/>
              </w:rPr>
            </w:pPr>
            <w:r>
              <w:rPr>
                <w:rFonts w:hint="eastAsia" w:ascii="宋体" w:hAnsi="宋体"/>
                <w:sz w:val="24"/>
              </w:rPr>
              <w:t>投标文件未含有采购人不能接受的附加条件的。</w:t>
            </w:r>
          </w:p>
        </w:tc>
        <w:tc>
          <w:tcPr>
            <w:tcW w:w="419" w:type="pct"/>
            <w:vAlign w:val="center"/>
          </w:tcPr>
          <w:p>
            <w:pPr>
              <w:rPr>
                <w:rFonts w:ascii="宋体" w:hAnsi="宋体" w:cs="宋体"/>
                <w:sz w:val="24"/>
              </w:rPr>
            </w:pPr>
          </w:p>
        </w:tc>
        <w:tc>
          <w:tcPr>
            <w:tcW w:w="422" w:type="pct"/>
            <w:vAlign w:val="center"/>
          </w:tcPr>
          <w:p>
            <w:pPr>
              <w:rPr>
                <w:rFonts w:ascii="宋体" w:hAnsi="宋体" w:cs="宋体"/>
                <w:sz w:val="24"/>
              </w:rPr>
            </w:pPr>
          </w:p>
        </w:tc>
        <w:tc>
          <w:tcPr>
            <w:tcW w:w="420" w:type="pct"/>
            <w:vAlign w:val="center"/>
          </w:tcPr>
          <w:p>
            <w:pPr>
              <w:rPr>
                <w:rFonts w:ascii="宋体" w:hAnsi="宋体" w:cs="宋体"/>
                <w:sz w:val="24"/>
              </w:rPr>
            </w:pPr>
          </w:p>
        </w:tc>
        <w:tc>
          <w:tcPr>
            <w:tcW w:w="450" w:type="pct"/>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56" w:type="pct"/>
            <w:vAlign w:val="center"/>
          </w:tcPr>
          <w:p>
            <w:pPr>
              <w:jc w:val="center"/>
              <w:rPr>
                <w:rFonts w:ascii="宋体" w:hAnsi="宋体" w:cs="宋体"/>
                <w:sz w:val="24"/>
              </w:rPr>
            </w:pPr>
            <w:r>
              <w:rPr>
                <w:rFonts w:hint="eastAsia" w:ascii="宋体" w:hAnsi="宋体" w:cs="宋体"/>
                <w:sz w:val="24"/>
              </w:rPr>
              <w:t>9</w:t>
            </w:r>
          </w:p>
        </w:tc>
        <w:tc>
          <w:tcPr>
            <w:tcW w:w="2932" w:type="pct"/>
            <w:vAlign w:val="center"/>
          </w:tcPr>
          <w:p>
            <w:pPr>
              <w:pStyle w:val="7"/>
              <w:ind w:firstLine="0" w:firstLineChars="0"/>
              <w:rPr>
                <w:rFonts w:ascii="宋体" w:hAnsi="宋体"/>
                <w:sz w:val="24"/>
              </w:rPr>
            </w:pPr>
            <w:r>
              <w:rPr>
                <w:rFonts w:hint="eastAsia" w:ascii="宋体" w:hAnsi="宋体"/>
                <w:sz w:val="24"/>
              </w:rPr>
              <w:t>未发现其他不符合法律法规规定的实质性要求。</w:t>
            </w:r>
          </w:p>
        </w:tc>
        <w:tc>
          <w:tcPr>
            <w:tcW w:w="419" w:type="pct"/>
            <w:vAlign w:val="center"/>
          </w:tcPr>
          <w:p>
            <w:pPr>
              <w:rPr>
                <w:rFonts w:ascii="宋体" w:hAnsi="宋体" w:cs="宋体"/>
                <w:sz w:val="24"/>
              </w:rPr>
            </w:pPr>
          </w:p>
        </w:tc>
        <w:tc>
          <w:tcPr>
            <w:tcW w:w="422" w:type="pct"/>
            <w:vAlign w:val="center"/>
          </w:tcPr>
          <w:p>
            <w:pPr>
              <w:rPr>
                <w:rFonts w:ascii="宋体" w:hAnsi="宋体" w:cs="宋体"/>
                <w:sz w:val="24"/>
              </w:rPr>
            </w:pPr>
          </w:p>
        </w:tc>
        <w:tc>
          <w:tcPr>
            <w:tcW w:w="420" w:type="pct"/>
            <w:vAlign w:val="center"/>
          </w:tcPr>
          <w:p>
            <w:pPr>
              <w:rPr>
                <w:rFonts w:ascii="宋体" w:hAnsi="宋体" w:cs="宋体"/>
                <w:sz w:val="24"/>
              </w:rPr>
            </w:pPr>
          </w:p>
        </w:tc>
        <w:tc>
          <w:tcPr>
            <w:tcW w:w="450" w:type="pct"/>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56" w:type="pct"/>
            <w:vAlign w:val="center"/>
          </w:tcPr>
          <w:p>
            <w:pPr>
              <w:jc w:val="center"/>
              <w:rPr>
                <w:rFonts w:ascii="宋体" w:hAnsi="宋体" w:cs="宋体"/>
                <w:sz w:val="24"/>
              </w:rPr>
            </w:pPr>
            <w:r>
              <w:rPr>
                <w:rFonts w:hint="eastAsia" w:ascii="宋体" w:hAnsi="宋体" w:cs="宋体"/>
                <w:sz w:val="24"/>
              </w:rPr>
              <w:t>10</w:t>
            </w:r>
          </w:p>
        </w:tc>
        <w:tc>
          <w:tcPr>
            <w:tcW w:w="2932" w:type="pct"/>
            <w:vAlign w:val="center"/>
          </w:tcPr>
          <w:p>
            <w:pPr>
              <w:pStyle w:val="7"/>
              <w:ind w:firstLine="0" w:firstLineChars="0"/>
              <w:rPr>
                <w:rFonts w:ascii="宋体" w:hAnsi="宋体"/>
                <w:sz w:val="24"/>
              </w:rPr>
            </w:pPr>
          </w:p>
        </w:tc>
        <w:tc>
          <w:tcPr>
            <w:tcW w:w="419" w:type="pct"/>
            <w:vAlign w:val="center"/>
          </w:tcPr>
          <w:p>
            <w:pPr>
              <w:rPr>
                <w:rFonts w:ascii="宋体" w:hAnsi="宋体" w:cs="宋体"/>
                <w:sz w:val="24"/>
              </w:rPr>
            </w:pPr>
          </w:p>
        </w:tc>
        <w:tc>
          <w:tcPr>
            <w:tcW w:w="422" w:type="pct"/>
            <w:vAlign w:val="center"/>
          </w:tcPr>
          <w:p>
            <w:pPr>
              <w:rPr>
                <w:rFonts w:ascii="宋体" w:hAnsi="宋体" w:cs="宋体"/>
                <w:sz w:val="24"/>
              </w:rPr>
            </w:pPr>
          </w:p>
        </w:tc>
        <w:tc>
          <w:tcPr>
            <w:tcW w:w="420" w:type="pct"/>
            <w:vAlign w:val="center"/>
          </w:tcPr>
          <w:p>
            <w:pPr>
              <w:rPr>
                <w:rFonts w:ascii="宋体" w:hAnsi="宋体" w:cs="宋体"/>
                <w:sz w:val="24"/>
              </w:rPr>
            </w:pPr>
          </w:p>
        </w:tc>
        <w:tc>
          <w:tcPr>
            <w:tcW w:w="450" w:type="pct"/>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288" w:type="pct"/>
            <w:gridSpan w:val="2"/>
            <w:vAlign w:val="center"/>
          </w:tcPr>
          <w:p>
            <w:pPr>
              <w:rPr>
                <w:rFonts w:ascii="宋体" w:hAnsi="宋体" w:cs="宋体"/>
                <w:sz w:val="24"/>
              </w:rPr>
            </w:pPr>
            <w:r>
              <w:rPr>
                <w:rFonts w:hint="eastAsia" w:ascii="宋体" w:hAnsi="宋体" w:cs="宋体"/>
                <w:sz w:val="24"/>
              </w:rPr>
              <w:t>审查结论</w:t>
            </w:r>
          </w:p>
        </w:tc>
        <w:tc>
          <w:tcPr>
            <w:tcW w:w="419" w:type="pct"/>
            <w:vAlign w:val="center"/>
          </w:tcPr>
          <w:p>
            <w:pPr>
              <w:rPr>
                <w:rFonts w:ascii="宋体" w:hAnsi="宋体" w:cs="宋体"/>
                <w:sz w:val="24"/>
              </w:rPr>
            </w:pPr>
          </w:p>
        </w:tc>
        <w:tc>
          <w:tcPr>
            <w:tcW w:w="422" w:type="pct"/>
            <w:vAlign w:val="center"/>
          </w:tcPr>
          <w:p>
            <w:pPr>
              <w:rPr>
                <w:rFonts w:ascii="宋体" w:hAnsi="宋体" w:cs="宋体"/>
                <w:sz w:val="24"/>
              </w:rPr>
            </w:pPr>
          </w:p>
        </w:tc>
        <w:tc>
          <w:tcPr>
            <w:tcW w:w="420" w:type="pct"/>
            <w:vAlign w:val="center"/>
          </w:tcPr>
          <w:p>
            <w:pPr>
              <w:rPr>
                <w:rFonts w:ascii="宋体" w:hAnsi="宋体" w:cs="宋体"/>
                <w:sz w:val="24"/>
              </w:rPr>
            </w:pPr>
          </w:p>
        </w:tc>
        <w:tc>
          <w:tcPr>
            <w:tcW w:w="450" w:type="pct"/>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5000" w:type="pct"/>
            <w:gridSpan w:val="6"/>
            <w:vAlign w:val="center"/>
          </w:tcPr>
          <w:p>
            <w:pPr>
              <w:rPr>
                <w:rFonts w:ascii="宋体" w:hAnsi="宋体" w:cs="宋体"/>
                <w:sz w:val="24"/>
              </w:rPr>
            </w:pPr>
            <w:r>
              <w:rPr>
                <w:rFonts w:hint="eastAsia" w:ascii="宋体" w:hAnsi="宋体" w:cs="宋体"/>
                <w:sz w:val="24"/>
              </w:rPr>
              <w:t>备注：（有不符合项的，需在此处详细写明理由）</w:t>
            </w: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评委签字：</w:t>
            </w:r>
          </w:p>
        </w:tc>
      </w:tr>
    </w:tbl>
    <w:p>
      <w:pPr>
        <w:rPr>
          <w:szCs w:val="21"/>
        </w:rPr>
      </w:pPr>
      <w:r>
        <w:rPr>
          <w:rFonts w:hint="eastAsia"/>
          <w:szCs w:val="21"/>
        </w:rPr>
        <w:t>注：1、合格项打√，不合格项打×，不合格原因请在备注栏内注明。</w:t>
      </w:r>
    </w:p>
    <w:p>
      <w:pPr>
        <w:ind w:firstLine="420"/>
        <w:rPr>
          <w:rFonts w:cs="宋体"/>
        </w:rPr>
      </w:pPr>
      <w:r>
        <w:rPr>
          <w:rFonts w:hint="eastAsia"/>
          <w:szCs w:val="21"/>
        </w:rPr>
        <w:t>2、</w:t>
      </w:r>
      <w:r>
        <w:rPr>
          <w:rFonts w:hint="eastAsia"/>
        </w:rPr>
        <w:t>《符合性审查表》是符合性评审的依据，《符合性审查表》未列明的，不得作为符合性评审中认定投标（报价）文件无效的依据（属于法律法规规定的投标响应文件无效的情形除外）。</w:t>
      </w:r>
    </w:p>
    <w:sectPr>
      <w:headerReference r:id="rId6" w:type="first"/>
      <w:pgSz w:w="11906" w:h="16838"/>
      <w:pgMar w:top="1134" w:right="1134" w:bottom="993" w:left="1701" w:header="851" w:footer="82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- 1 -</w:t>
    </w:r>
    <w:r>
      <w:fldChar w:fldCharType="end"/>
    </w:r>
  </w:p>
  <w:p>
    <w:pPr>
      <w:pStyle w:val="16"/>
      <w:rPr>
        <w:rFonts w:ascii="仿宋_GB2312" w:eastAsia="仿宋_GB2312"/>
        <w:sz w:val="21"/>
        <w:szCs w:val="21"/>
      </w:rPr>
    </w:pPr>
  </w:p>
  <w:p>
    <w:pPr>
      <w:pStyle w:val="16"/>
      <w:rPr>
        <w:rFonts w:hint="eastAsia" w:ascii="仿宋_GB2312" w:eastAsia="宋体"/>
        <w:sz w:val="21"/>
        <w:szCs w:val="21"/>
        <w:lang w:eastAsia="zh-CN"/>
      </w:rPr>
    </w:pPr>
    <w:r>
      <w:rPr>
        <w:rFonts w:hint="eastAsia"/>
      </w:rPr>
      <w:t>大连合力项目管理有限公司                   地址：</w:t>
    </w:r>
    <w:r>
      <w:rPr>
        <w:rFonts w:hint="eastAsia"/>
        <w:lang w:eastAsia="zh-CN"/>
      </w:rPr>
      <w:t>大连市沙河口区联合路6A国资创新大厦2506室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2024年西岗区司法局专职人民调解服务采购项目                               项目编号：HLXG2024-0101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6" w:space="0"/>
      </w:pBdr>
      <w:jc w:val="both"/>
    </w:pPr>
    <w:r>
      <w:rPr>
        <w:rFonts w:hint="eastAsia"/>
        <w:i/>
      </w:rPr>
      <w:drawing>
        <wp:inline distT="0" distB="0" distL="0" distR="0">
          <wp:extent cx="533400" cy="167640"/>
          <wp:effectExtent l="19050" t="0" r="0" b="0"/>
          <wp:docPr id="13"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1"/>
                  <pic:cNvPicPr>
                    <a:picLocks noChangeAspect="1" noChangeArrowheads="1"/>
                  </pic:cNvPicPr>
                </pic:nvPicPr>
                <pic:blipFill>
                  <a:blip r:embed="rId1"/>
                  <a:srcRect/>
                  <a:stretch>
                    <a:fillRect/>
                  </a:stretch>
                </pic:blipFill>
                <pic:spPr>
                  <a:xfrm>
                    <a:off x="0" y="0"/>
                    <a:ext cx="533400" cy="167640"/>
                  </a:xfrm>
                  <a:prstGeom prst="rect">
                    <a:avLst/>
                  </a:prstGeom>
                  <a:noFill/>
                  <a:ln w="9525">
                    <a:noFill/>
                    <a:miter lim="800000"/>
                    <a:headEnd/>
                    <a:tailEnd/>
                  </a:ln>
                </pic:spPr>
              </pic:pic>
            </a:graphicData>
          </a:graphic>
        </wp:inline>
      </w:drawing>
    </w:r>
    <w:r>
      <w:rPr>
        <w:rFonts w:hint="eastAsia" w:ascii="仿宋_GB2312" w:hAnsi="宋体" w:eastAsia="仿宋_GB2312"/>
        <w:sz w:val="21"/>
        <w:szCs w:val="21"/>
      </w:rPr>
      <w:t>大连市</w:t>
    </w:r>
    <w:r>
      <w:rPr>
        <w:rFonts w:hint="eastAsia" w:ascii="仿宋_GB2312" w:hAnsi="宋体" w:eastAsia="仿宋_GB2312"/>
        <w:color w:val="FF0000"/>
        <w:sz w:val="21"/>
        <w:szCs w:val="21"/>
      </w:rPr>
      <w:t>XXXXXXXXXXXXXXX</w:t>
    </w:r>
    <w:r>
      <w:rPr>
        <w:rFonts w:hint="eastAsia" w:ascii="仿宋_GB2312" w:hAnsi="宋体" w:eastAsia="仿宋_GB2312"/>
        <w:sz w:val="21"/>
        <w:szCs w:val="21"/>
      </w:rPr>
      <w:t>采购 项目编号：TLCG200</w:t>
    </w:r>
    <w:r>
      <w:rPr>
        <w:rFonts w:hint="eastAsia" w:ascii="仿宋_GB2312" w:hAnsi="宋体" w:eastAsia="仿宋_GB2312"/>
        <w:color w:val="FF0000"/>
        <w:sz w:val="21"/>
        <w:szCs w:val="21"/>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tabs>
          <w:tab w:val="left" w:pos="560"/>
        </w:tabs>
        <w:ind w:left="900" w:hanging="340"/>
      </w:pPr>
      <w:rPr>
        <w:rFonts w:hint="eastAsia"/>
      </w:rPr>
    </w:lvl>
    <w:lvl w:ilvl="1" w:tentative="0">
      <w:start w:val="1"/>
      <w:numFmt w:val="decimal"/>
      <w:lvlText w:val="%2．"/>
      <w:lvlJc w:val="left"/>
      <w:pPr>
        <w:tabs>
          <w:tab w:val="left" w:pos="0"/>
        </w:tabs>
        <w:ind w:left="340" w:hanging="340"/>
      </w:pPr>
      <w:rPr>
        <w:rFonts w:ascii="宋体"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iOTRiNzUwZjZlMDhjZThhZTQwZTQ5OWFkYWYwNmEifQ=="/>
  </w:docVars>
  <w:rsids>
    <w:rsidRoot w:val="004C2853"/>
    <w:rsid w:val="00001F00"/>
    <w:rsid w:val="00002047"/>
    <w:rsid w:val="00002D80"/>
    <w:rsid w:val="00003AAB"/>
    <w:rsid w:val="00005027"/>
    <w:rsid w:val="000070FD"/>
    <w:rsid w:val="00010F59"/>
    <w:rsid w:val="0001102C"/>
    <w:rsid w:val="00011BA2"/>
    <w:rsid w:val="00012257"/>
    <w:rsid w:val="000133F8"/>
    <w:rsid w:val="00013B4C"/>
    <w:rsid w:val="00013BAF"/>
    <w:rsid w:val="000154C3"/>
    <w:rsid w:val="0001619B"/>
    <w:rsid w:val="0001755C"/>
    <w:rsid w:val="0002167D"/>
    <w:rsid w:val="00021D61"/>
    <w:rsid w:val="00022545"/>
    <w:rsid w:val="00022FC0"/>
    <w:rsid w:val="00024180"/>
    <w:rsid w:val="000249CF"/>
    <w:rsid w:val="0002585F"/>
    <w:rsid w:val="00025E8C"/>
    <w:rsid w:val="0002669E"/>
    <w:rsid w:val="00026F3E"/>
    <w:rsid w:val="00027308"/>
    <w:rsid w:val="00027CDB"/>
    <w:rsid w:val="00027F55"/>
    <w:rsid w:val="00032686"/>
    <w:rsid w:val="000326AC"/>
    <w:rsid w:val="00033523"/>
    <w:rsid w:val="00034A31"/>
    <w:rsid w:val="0003503C"/>
    <w:rsid w:val="000366D6"/>
    <w:rsid w:val="0004032E"/>
    <w:rsid w:val="000421F4"/>
    <w:rsid w:val="00042F83"/>
    <w:rsid w:val="00043066"/>
    <w:rsid w:val="000448E8"/>
    <w:rsid w:val="0004692D"/>
    <w:rsid w:val="00046B7D"/>
    <w:rsid w:val="000475A8"/>
    <w:rsid w:val="00047721"/>
    <w:rsid w:val="00052FE3"/>
    <w:rsid w:val="00054878"/>
    <w:rsid w:val="00054971"/>
    <w:rsid w:val="00055235"/>
    <w:rsid w:val="00055274"/>
    <w:rsid w:val="0005736A"/>
    <w:rsid w:val="00057CDD"/>
    <w:rsid w:val="00060581"/>
    <w:rsid w:val="00060B57"/>
    <w:rsid w:val="00061244"/>
    <w:rsid w:val="00062453"/>
    <w:rsid w:val="00062BCA"/>
    <w:rsid w:val="00062EBC"/>
    <w:rsid w:val="00063948"/>
    <w:rsid w:val="0006481D"/>
    <w:rsid w:val="000662DE"/>
    <w:rsid w:val="00066B22"/>
    <w:rsid w:val="00070901"/>
    <w:rsid w:val="00072508"/>
    <w:rsid w:val="00073510"/>
    <w:rsid w:val="00074224"/>
    <w:rsid w:val="00074CFE"/>
    <w:rsid w:val="00075697"/>
    <w:rsid w:val="0007605A"/>
    <w:rsid w:val="00077886"/>
    <w:rsid w:val="00080163"/>
    <w:rsid w:val="00081FF5"/>
    <w:rsid w:val="00082088"/>
    <w:rsid w:val="0008340A"/>
    <w:rsid w:val="00083DA3"/>
    <w:rsid w:val="000841A2"/>
    <w:rsid w:val="000849C4"/>
    <w:rsid w:val="00085298"/>
    <w:rsid w:val="000873A8"/>
    <w:rsid w:val="00087B26"/>
    <w:rsid w:val="00090D45"/>
    <w:rsid w:val="00092DB0"/>
    <w:rsid w:val="000958A8"/>
    <w:rsid w:val="00095CAF"/>
    <w:rsid w:val="0009770D"/>
    <w:rsid w:val="000979CE"/>
    <w:rsid w:val="000A3042"/>
    <w:rsid w:val="000A38C4"/>
    <w:rsid w:val="000A3AC1"/>
    <w:rsid w:val="000A3F62"/>
    <w:rsid w:val="000A51F9"/>
    <w:rsid w:val="000A7CAD"/>
    <w:rsid w:val="000B1555"/>
    <w:rsid w:val="000B18A0"/>
    <w:rsid w:val="000B2627"/>
    <w:rsid w:val="000B2FEF"/>
    <w:rsid w:val="000B3354"/>
    <w:rsid w:val="000B39D5"/>
    <w:rsid w:val="000B49BA"/>
    <w:rsid w:val="000B4B83"/>
    <w:rsid w:val="000B524A"/>
    <w:rsid w:val="000B58DA"/>
    <w:rsid w:val="000B6C14"/>
    <w:rsid w:val="000B76E5"/>
    <w:rsid w:val="000C01D4"/>
    <w:rsid w:val="000C5C30"/>
    <w:rsid w:val="000C67B9"/>
    <w:rsid w:val="000C768E"/>
    <w:rsid w:val="000C7D6C"/>
    <w:rsid w:val="000C7E19"/>
    <w:rsid w:val="000D055B"/>
    <w:rsid w:val="000D1015"/>
    <w:rsid w:val="000D26A6"/>
    <w:rsid w:val="000D3D11"/>
    <w:rsid w:val="000D3F79"/>
    <w:rsid w:val="000D4E68"/>
    <w:rsid w:val="000D66C8"/>
    <w:rsid w:val="000D6755"/>
    <w:rsid w:val="000E013E"/>
    <w:rsid w:val="000E083F"/>
    <w:rsid w:val="000E0A64"/>
    <w:rsid w:val="000E120D"/>
    <w:rsid w:val="000E207D"/>
    <w:rsid w:val="000E22FD"/>
    <w:rsid w:val="000E385A"/>
    <w:rsid w:val="000F02AA"/>
    <w:rsid w:val="000F0A6C"/>
    <w:rsid w:val="000F1043"/>
    <w:rsid w:val="000F17CE"/>
    <w:rsid w:val="000F1B0B"/>
    <w:rsid w:val="000F28B5"/>
    <w:rsid w:val="000F297C"/>
    <w:rsid w:val="000F2B93"/>
    <w:rsid w:val="000F3A53"/>
    <w:rsid w:val="000F751E"/>
    <w:rsid w:val="000F7C10"/>
    <w:rsid w:val="001023F5"/>
    <w:rsid w:val="00102C99"/>
    <w:rsid w:val="0010301E"/>
    <w:rsid w:val="00103C7F"/>
    <w:rsid w:val="00104CEF"/>
    <w:rsid w:val="00104F28"/>
    <w:rsid w:val="00105A07"/>
    <w:rsid w:val="00105DD4"/>
    <w:rsid w:val="00105F48"/>
    <w:rsid w:val="00106773"/>
    <w:rsid w:val="00106E56"/>
    <w:rsid w:val="00107B3B"/>
    <w:rsid w:val="00107D82"/>
    <w:rsid w:val="00110AAA"/>
    <w:rsid w:val="0011132B"/>
    <w:rsid w:val="00115288"/>
    <w:rsid w:val="00115CEB"/>
    <w:rsid w:val="00115EE2"/>
    <w:rsid w:val="001167B6"/>
    <w:rsid w:val="00116849"/>
    <w:rsid w:val="0011740C"/>
    <w:rsid w:val="001201E1"/>
    <w:rsid w:val="00121A7C"/>
    <w:rsid w:val="00121BA3"/>
    <w:rsid w:val="00122B20"/>
    <w:rsid w:val="00123AFD"/>
    <w:rsid w:val="00124051"/>
    <w:rsid w:val="00125E61"/>
    <w:rsid w:val="0012727F"/>
    <w:rsid w:val="0012737B"/>
    <w:rsid w:val="00127506"/>
    <w:rsid w:val="001300E2"/>
    <w:rsid w:val="00131DD3"/>
    <w:rsid w:val="00131E4F"/>
    <w:rsid w:val="00132559"/>
    <w:rsid w:val="0013302D"/>
    <w:rsid w:val="001362C7"/>
    <w:rsid w:val="00136BE6"/>
    <w:rsid w:val="00137F33"/>
    <w:rsid w:val="00140348"/>
    <w:rsid w:val="00141BD8"/>
    <w:rsid w:val="00142217"/>
    <w:rsid w:val="0014266E"/>
    <w:rsid w:val="00145B29"/>
    <w:rsid w:val="00150FF0"/>
    <w:rsid w:val="0015291B"/>
    <w:rsid w:val="00153146"/>
    <w:rsid w:val="0015327A"/>
    <w:rsid w:val="00154197"/>
    <w:rsid w:val="001547D9"/>
    <w:rsid w:val="001571B8"/>
    <w:rsid w:val="001579AE"/>
    <w:rsid w:val="001624A5"/>
    <w:rsid w:val="00162655"/>
    <w:rsid w:val="0016389C"/>
    <w:rsid w:val="001640E5"/>
    <w:rsid w:val="00164FE3"/>
    <w:rsid w:val="00166F84"/>
    <w:rsid w:val="001670EA"/>
    <w:rsid w:val="0016766B"/>
    <w:rsid w:val="00167C8F"/>
    <w:rsid w:val="0017010E"/>
    <w:rsid w:val="0017056F"/>
    <w:rsid w:val="001705BD"/>
    <w:rsid w:val="001744D5"/>
    <w:rsid w:val="001751B5"/>
    <w:rsid w:val="0017541C"/>
    <w:rsid w:val="00175C9F"/>
    <w:rsid w:val="00175EFB"/>
    <w:rsid w:val="0017679C"/>
    <w:rsid w:val="00182759"/>
    <w:rsid w:val="00182B69"/>
    <w:rsid w:val="00182B85"/>
    <w:rsid w:val="00183072"/>
    <w:rsid w:val="00184251"/>
    <w:rsid w:val="001855E8"/>
    <w:rsid w:val="00185D07"/>
    <w:rsid w:val="00187EAC"/>
    <w:rsid w:val="00190FA4"/>
    <w:rsid w:val="001910B7"/>
    <w:rsid w:val="00193254"/>
    <w:rsid w:val="00194D33"/>
    <w:rsid w:val="00196C59"/>
    <w:rsid w:val="00197184"/>
    <w:rsid w:val="0019785A"/>
    <w:rsid w:val="001A1C62"/>
    <w:rsid w:val="001A2008"/>
    <w:rsid w:val="001A39AC"/>
    <w:rsid w:val="001A42AD"/>
    <w:rsid w:val="001A496B"/>
    <w:rsid w:val="001A4C28"/>
    <w:rsid w:val="001A4E46"/>
    <w:rsid w:val="001A4FCD"/>
    <w:rsid w:val="001A506B"/>
    <w:rsid w:val="001A531D"/>
    <w:rsid w:val="001A6563"/>
    <w:rsid w:val="001B1AF3"/>
    <w:rsid w:val="001B3F07"/>
    <w:rsid w:val="001B4170"/>
    <w:rsid w:val="001B4423"/>
    <w:rsid w:val="001B4DE9"/>
    <w:rsid w:val="001B573E"/>
    <w:rsid w:val="001B69A9"/>
    <w:rsid w:val="001B6F4B"/>
    <w:rsid w:val="001C0B8B"/>
    <w:rsid w:val="001C444A"/>
    <w:rsid w:val="001C49E1"/>
    <w:rsid w:val="001D0564"/>
    <w:rsid w:val="001D1625"/>
    <w:rsid w:val="001D2538"/>
    <w:rsid w:val="001D554E"/>
    <w:rsid w:val="001D5F55"/>
    <w:rsid w:val="001D6CDE"/>
    <w:rsid w:val="001D7270"/>
    <w:rsid w:val="001D7B5B"/>
    <w:rsid w:val="001D7D2B"/>
    <w:rsid w:val="001E0D74"/>
    <w:rsid w:val="001E15A1"/>
    <w:rsid w:val="001E2471"/>
    <w:rsid w:val="001E2E70"/>
    <w:rsid w:val="001E2F33"/>
    <w:rsid w:val="001E365A"/>
    <w:rsid w:val="001E3A3D"/>
    <w:rsid w:val="001E4AB9"/>
    <w:rsid w:val="001E6DAD"/>
    <w:rsid w:val="001E7DE5"/>
    <w:rsid w:val="001E7EC3"/>
    <w:rsid w:val="001F0F8F"/>
    <w:rsid w:val="001F174F"/>
    <w:rsid w:val="001F218A"/>
    <w:rsid w:val="001F2C69"/>
    <w:rsid w:val="001F346B"/>
    <w:rsid w:val="001F49F1"/>
    <w:rsid w:val="001F54DD"/>
    <w:rsid w:val="001F62FC"/>
    <w:rsid w:val="001F68B8"/>
    <w:rsid w:val="001F712C"/>
    <w:rsid w:val="001F73E0"/>
    <w:rsid w:val="001F751B"/>
    <w:rsid w:val="001F7A5D"/>
    <w:rsid w:val="002003EF"/>
    <w:rsid w:val="00200DEC"/>
    <w:rsid w:val="002026E3"/>
    <w:rsid w:val="0020583C"/>
    <w:rsid w:val="0020704F"/>
    <w:rsid w:val="002075EF"/>
    <w:rsid w:val="00207E42"/>
    <w:rsid w:val="00210213"/>
    <w:rsid w:val="002116D3"/>
    <w:rsid w:val="00213201"/>
    <w:rsid w:val="002143C8"/>
    <w:rsid w:val="00215656"/>
    <w:rsid w:val="00215E62"/>
    <w:rsid w:val="00216DCC"/>
    <w:rsid w:val="00220254"/>
    <w:rsid w:val="00221130"/>
    <w:rsid w:val="002212A7"/>
    <w:rsid w:val="00221408"/>
    <w:rsid w:val="00221B59"/>
    <w:rsid w:val="002231B0"/>
    <w:rsid w:val="00223884"/>
    <w:rsid w:val="00223FE0"/>
    <w:rsid w:val="00225E14"/>
    <w:rsid w:val="00226CC4"/>
    <w:rsid w:val="00226DBD"/>
    <w:rsid w:val="00232C56"/>
    <w:rsid w:val="00233935"/>
    <w:rsid w:val="00233A2A"/>
    <w:rsid w:val="00234656"/>
    <w:rsid w:val="002366AC"/>
    <w:rsid w:val="00236C2B"/>
    <w:rsid w:val="00240C31"/>
    <w:rsid w:val="0024138B"/>
    <w:rsid w:val="0024277E"/>
    <w:rsid w:val="00243B7B"/>
    <w:rsid w:val="002471A1"/>
    <w:rsid w:val="0024776F"/>
    <w:rsid w:val="0025152E"/>
    <w:rsid w:val="00251F6A"/>
    <w:rsid w:val="00252A1C"/>
    <w:rsid w:val="002533C7"/>
    <w:rsid w:val="00254BCE"/>
    <w:rsid w:val="00255C92"/>
    <w:rsid w:val="00255E6A"/>
    <w:rsid w:val="00257670"/>
    <w:rsid w:val="00257A73"/>
    <w:rsid w:val="00257C53"/>
    <w:rsid w:val="0026169B"/>
    <w:rsid w:val="00262082"/>
    <w:rsid w:val="00262232"/>
    <w:rsid w:val="00263637"/>
    <w:rsid w:val="002639DD"/>
    <w:rsid w:val="0026419B"/>
    <w:rsid w:val="00267A6C"/>
    <w:rsid w:val="00270062"/>
    <w:rsid w:val="00270290"/>
    <w:rsid w:val="00270AFA"/>
    <w:rsid w:val="002725D7"/>
    <w:rsid w:val="00272E9D"/>
    <w:rsid w:val="0027482E"/>
    <w:rsid w:val="00275362"/>
    <w:rsid w:val="00275FC3"/>
    <w:rsid w:val="0027666D"/>
    <w:rsid w:val="00282825"/>
    <w:rsid w:val="00283625"/>
    <w:rsid w:val="0028665E"/>
    <w:rsid w:val="002912FE"/>
    <w:rsid w:val="002914D3"/>
    <w:rsid w:val="0029353B"/>
    <w:rsid w:val="00293CDC"/>
    <w:rsid w:val="0029446C"/>
    <w:rsid w:val="002944E8"/>
    <w:rsid w:val="00294953"/>
    <w:rsid w:val="0029604E"/>
    <w:rsid w:val="00296EEF"/>
    <w:rsid w:val="002971EF"/>
    <w:rsid w:val="002A0739"/>
    <w:rsid w:val="002A0CCD"/>
    <w:rsid w:val="002A11A5"/>
    <w:rsid w:val="002A1777"/>
    <w:rsid w:val="002A1ADF"/>
    <w:rsid w:val="002A25D4"/>
    <w:rsid w:val="002A2685"/>
    <w:rsid w:val="002A2D7D"/>
    <w:rsid w:val="002A4095"/>
    <w:rsid w:val="002A4102"/>
    <w:rsid w:val="002A41E3"/>
    <w:rsid w:val="002A4F54"/>
    <w:rsid w:val="002A50BA"/>
    <w:rsid w:val="002A5397"/>
    <w:rsid w:val="002A6A07"/>
    <w:rsid w:val="002B17A3"/>
    <w:rsid w:val="002B2D4B"/>
    <w:rsid w:val="002B349B"/>
    <w:rsid w:val="002B3B79"/>
    <w:rsid w:val="002B472B"/>
    <w:rsid w:val="002B5085"/>
    <w:rsid w:val="002B575D"/>
    <w:rsid w:val="002B5BAF"/>
    <w:rsid w:val="002B673C"/>
    <w:rsid w:val="002B6FF6"/>
    <w:rsid w:val="002C07BE"/>
    <w:rsid w:val="002C0ABD"/>
    <w:rsid w:val="002C0D21"/>
    <w:rsid w:val="002C22CD"/>
    <w:rsid w:val="002C3A59"/>
    <w:rsid w:val="002C49F6"/>
    <w:rsid w:val="002C4EA3"/>
    <w:rsid w:val="002C50E8"/>
    <w:rsid w:val="002C5CE8"/>
    <w:rsid w:val="002D0961"/>
    <w:rsid w:val="002D0FA8"/>
    <w:rsid w:val="002D1D2F"/>
    <w:rsid w:val="002D2856"/>
    <w:rsid w:val="002D2D58"/>
    <w:rsid w:val="002D5A9F"/>
    <w:rsid w:val="002E1275"/>
    <w:rsid w:val="002E361C"/>
    <w:rsid w:val="002E445F"/>
    <w:rsid w:val="002E4B66"/>
    <w:rsid w:val="002E5DED"/>
    <w:rsid w:val="002E7C34"/>
    <w:rsid w:val="002F1311"/>
    <w:rsid w:val="002F1E83"/>
    <w:rsid w:val="002F3F61"/>
    <w:rsid w:val="002F53DB"/>
    <w:rsid w:val="0030251E"/>
    <w:rsid w:val="00302A9D"/>
    <w:rsid w:val="00305594"/>
    <w:rsid w:val="00305FA9"/>
    <w:rsid w:val="00310CD4"/>
    <w:rsid w:val="00313C56"/>
    <w:rsid w:val="00314F02"/>
    <w:rsid w:val="003156AF"/>
    <w:rsid w:val="003208E4"/>
    <w:rsid w:val="00321165"/>
    <w:rsid w:val="003222E1"/>
    <w:rsid w:val="003226F1"/>
    <w:rsid w:val="00324408"/>
    <w:rsid w:val="003245A3"/>
    <w:rsid w:val="003245FC"/>
    <w:rsid w:val="00324981"/>
    <w:rsid w:val="0032613D"/>
    <w:rsid w:val="003300D5"/>
    <w:rsid w:val="0033049E"/>
    <w:rsid w:val="00331262"/>
    <w:rsid w:val="00332702"/>
    <w:rsid w:val="00333975"/>
    <w:rsid w:val="00334253"/>
    <w:rsid w:val="00334D1F"/>
    <w:rsid w:val="003359F7"/>
    <w:rsid w:val="00336361"/>
    <w:rsid w:val="0033703C"/>
    <w:rsid w:val="00342826"/>
    <w:rsid w:val="003447F9"/>
    <w:rsid w:val="00345398"/>
    <w:rsid w:val="00346414"/>
    <w:rsid w:val="00346D79"/>
    <w:rsid w:val="003471CB"/>
    <w:rsid w:val="00347B94"/>
    <w:rsid w:val="00352682"/>
    <w:rsid w:val="00353B9E"/>
    <w:rsid w:val="00354252"/>
    <w:rsid w:val="00354F4D"/>
    <w:rsid w:val="00355DFA"/>
    <w:rsid w:val="003564FB"/>
    <w:rsid w:val="00361275"/>
    <w:rsid w:val="00361A5B"/>
    <w:rsid w:val="0036477D"/>
    <w:rsid w:val="00364FFA"/>
    <w:rsid w:val="00365DD4"/>
    <w:rsid w:val="00366F5E"/>
    <w:rsid w:val="0037010E"/>
    <w:rsid w:val="003705C6"/>
    <w:rsid w:val="00370B72"/>
    <w:rsid w:val="00370BA8"/>
    <w:rsid w:val="00370FB1"/>
    <w:rsid w:val="00374929"/>
    <w:rsid w:val="00374D59"/>
    <w:rsid w:val="00375887"/>
    <w:rsid w:val="0037613C"/>
    <w:rsid w:val="00376819"/>
    <w:rsid w:val="003805ED"/>
    <w:rsid w:val="00381549"/>
    <w:rsid w:val="00382698"/>
    <w:rsid w:val="00383160"/>
    <w:rsid w:val="003831C5"/>
    <w:rsid w:val="00383EDA"/>
    <w:rsid w:val="00384433"/>
    <w:rsid w:val="003855D8"/>
    <w:rsid w:val="0038571B"/>
    <w:rsid w:val="00385E83"/>
    <w:rsid w:val="00386CE2"/>
    <w:rsid w:val="0038739E"/>
    <w:rsid w:val="0038754F"/>
    <w:rsid w:val="0039044E"/>
    <w:rsid w:val="00390945"/>
    <w:rsid w:val="00390A37"/>
    <w:rsid w:val="00390DB8"/>
    <w:rsid w:val="003937C8"/>
    <w:rsid w:val="00393B58"/>
    <w:rsid w:val="00394B7F"/>
    <w:rsid w:val="00396619"/>
    <w:rsid w:val="0039684C"/>
    <w:rsid w:val="003A091A"/>
    <w:rsid w:val="003A0DF2"/>
    <w:rsid w:val="003A0F21"/>
    <w:rsid w:val="003A14A3"/>
    <w:rsid w:val="003A233A"/>
    <w:rsid w:val="003A2CCF"/>
    <w:rsid w:val="003A3A38"/>
    <w:rsid w:val="003A4B9B"/>
    <w:rsid w:val="003A4F61"/>
    <w:rsid w:val="003A53A4"/>
    <w:rsid w:val="003A5A98"/>
    <w:rsid w:val="003A7230"/>
    <w:rsid w:val="003A729B"/>
    <w:rsid w:val="003B0438"/>
    <w:rsid w:val="003B1B75"/>
    <w:rsid w:val="003B2CC0"/>
    <w:rsid w:val="003B3A42"/>
    <w:rsid w:val="003B4721"/>
    <w:rsid w:val="003B4CEB"/>
    <w:rsid w:val="003B7A47"/>
    <w:rsid w:val="003B7E56"/>
    <w:rsid w:val="003C0CE0"/>
    <w:rsid w:val="003C109E"/>
    <w:rsid w:val="003C1865"/>
    <w:rsid w:val="003C40F1"/>
    <w:rsid w:val="003C4B6C"/>
    <w:rsid w:val="003C4F3B"/>
    <w:rsid w:val="003C7AB9"/>
    <w:rsid w:val="003D0EEC"/>
    <w:rsid w:val="003D18EC"/>
    <w:rsid w:val="003D1D19"/>
    <w:rsid w:val="003D3A2A"/>
    <w:rsid w:val="003D3AB1"/>
    <w:rsid w:val="003D3ACE"/>
    <w:rsid w:val="003D44DE"/>
    <w:rsid w:val="003D5097"/>
    <w:rsid w:val="003D72C1"/>
    <w:rsid w:val="003D7493"/>
    <w:rsid w:val="003D7C72"/>
    <w:rsid w:val="003D7CD8"/>
    <w:rsid w:val="003E1E34"/>
    <w:rsid w:val="003E2277"/>
    <w:rsid w:val="003E3432"/>
    <w:rsid w:val="003E3C5C"/>
    <w:rsid w:val="003E4330"/>
    <w:rsid w:val="003E4345"/>
    <w:rsid w:val="003E4677"/>
    <w:rsid w:val="003E47D3"/>
    <w:rsid w:val="003E6179"/>
    <w:rsid w:val="003E6210"/>
    <w:rsid w:val="003E6AB7"/>
    <w:rsid w:val="003E7057"/>
    <w:rsid w:val="003E7F4D"/>
    <w:rsid w:val="003F1D7B"/>
    <w:rsid w:val="003F321D"/>
    <w:rsid w:val="003F4836"/>
    <w:rsid w:val="003F5436"/>
    <w:rsid w:val="003F5973"/>
    <w:rsid w:val="003F5BE9"/>
    <w:rsid w:val="003F6088"/>
    <w:rsid w:val="003F709A"/>
    <w:rsid w:val="004001C8"/>
    <w:rsid w:val="004017D9"/>
    <w:rsid w:val="00401D3C"/>
    <w:rsid w:val="004035CF"/>
    <w:rsid w:val="0040367B"/>
    <w:rsid w:val="0040417C"/>
    <w:rsid w:val="004057F5"/>
    <w:rsid w:val="0040648E"/>
    <w:rsid w:val="0040782C"/>
    <w:rsid w:val="004107EA"/>
    <w:rsid w:val="00411377"/>
    <w:rsid w:val="00411EE6"/>
    <w:rsid w:val="004125C9"/>
    <w:rsid w:val="00412A30"/>
    <w:rsid w:val="00412CF2"/>
    <w:rsid w:val="00412F6B"/>
    <w:rsid w:val="00413625"/>
    <w:rsid w:val="00413D76"/>
    <w:rsid w:val="004147A8"/>
    <w:rsid w:val="00414AFD"/>
    <w:rsid w:val="00415719"/>
    <w:rsid w:val="004164E5"/>
    <w:rsid w:val="00416A3D"/>
    <w:rsid w:val="00417A19"/>
    <w:rsid w:val="00421D35"/>
    <w:rsid w:val="004222A3"/>
    <w:rsid w:val="00422FCD"/>
    <w:rsid w:val="00423D76"/>
    <w:rsid w:val="00425D8C"/>
    <w:rsid w:val="0042603B"/>
    <w:rsid w:val="00426CB4"/>
    <w:rsid w:val="00427783"/>
    <w:rsid w:val="0042789F"/>
    <w:rsid w:val="00427ACE"/>
    <w:rsid w:val="00427E2B"/>
    <w:rsid w:val="004314C3"/>
    <w:rsid w:val="00431831"/>
    <w:rsid w:val="00431F36"/>
    <w:rsid w:val="004328C6"/>
    <w:rsid w:val="004347EE"/>
    <w:rsid w:val="00434BAE"/>
    <w:rsid w:val="0043579A"/>
    <w:rsid w:val="00437879"/>
    <w:rsid w:val="0044121E"/>
    <w:rsid w:val="00441F7C"/>
    <w:rsid w:val="00442891"/>
    <w:rsid w:val="00442E35"/>
    <w:rsid w:val="004430CB"/>
    <w:rsid w:val="00445C57"/>
    <w:rsid w:val="004464EF"/>
    <w:rsid w:val="00446D25"/>
    <w:rsid w:val="00450F08"/>
    <w:rsid w:val="004518DD"/>
    <w:rsid w:val="00451D4D"/>
    <w:rsid w:val="0045209A"/>
    <w:rsid w:val="00452B02"/>
    <w:rsid w:val="004536DC"/>
    <w:rsid w:val="004547B4"/>
    <w:rsid w:val="0046267B"/>
    <w:rsid w:val="00462F9E"/>
    <w:rsid w:val="004641AD"/>
    <w:rsid w:val="0046798E"/>
    <w:rsid w:val="00467F04"/>
    <w:rsid w:val="00475B86"/>
    <w:rsid w:val="0047623C"/>
    <w:rsid w:val="00477983"/>
    <w:rsid w:val="0048376B"/>
    <w:rsid w:val="00483F12"/>
    <w:rsid w:val="004901FE"/>
    <w:rsid w:val="00494399"/>
    <w:rsid w:val="00494595"/>
    <w:rsid w:val="0049481B"/>
    <w:rsid w:val="00495584"/>
    <w:rsid w:val="0049655D"/>
    <w:rsid w:val="00497187"/>
    <w:rsid w:val="004A29C3"/>
    <w:rsid w:val="004A2FB0"/>
    <w:rsid w:val="004A330D"/>
    <w:rsid w:val="004A3939"/>
    <w:rsid w:val="004A474F"/>
    <w:rsid w:val="004A56C4"/>
    <w:rsid w:val="004A6CE2"/>
    <w:rsid w:val="004A7579"/>
    <w:rsid w:val="004A7B70"/>
    <w:rsid w:val="004B0B10"/>
    <w:rsid w:val="004B1F8C"/>
    <w:rsid w:val="004B2311"/>
    <w:rsid w:val="004B2465"/>
    <w:rsid w:val="004B5746"/>
    <w:rsid w:val="004B5EBB"/>
    <w:rsid w:val="004C027D"/>
    <w:rsid w:val="004C0502"/>
    <w:rsid w:val="004C1C29"/>
    <w:rsid w:val="004C21C3"/>
    <w:rsid w:val="004C2853"/>
    <w:rsid w:val="004C2BDE"/>
    <w:rsid w:val="004C2D2E"/>
    <w:rsid w:val="004C305A"/>
    <w:rsid w:val="004C3D0C"/>
    <w:rsid w:val="004C53F3"/>
    <w:rsid w:val="004C5DEE"/>
    <w:rsid w:val="004D0C8F"/>
    <w:rsid w:val="004D0E9E"/>
    <w:rsid w:val="004D0FC1"/>
    <w:rsid w:val="004D12CD"/>
    <w:rsid w:val="004D2E4D"/>
    <w:rsid w:val="004D3B57"/>
    <w:rsid w:val="004D4B66"/>
    <w:rsid w:val="004D586A"/>
    <w:rsid w:val="004D5F40"/>
    <w:rsid w:val="004D694B"/>
    <w:rsid w:val="004D6BC2"/>
    <w:rsid w:val="004D6BE7"/>
    <w:rsid w:val="004D787C"/>
    <w:rsid w:val="004E37FC"/>
    <w:rsid w:val="004E3EC7"/>
    <w:rsid w:val="004E431C"/>
    <w:rsid w:val="004E5579"/>
    <w:rsid w:val="004E56EB"/>
    <w:rsid w:val="004E5F8F"/>
    <w:rsid w:val="004E6799"/>
    <w:rsid w:val="004E6DF1"/>
    <w:rsid w:val="004E6EB4"/>
    <w:rsid w:val="004E74B7"/>
    <w:rsid w:val="004E7D2C"/>
    <w:rsid w:val="004F1317"/>
    <w:rsid w:val="004F18D8"/>
    <w:rsid w:val="004F2AF7"/>
    <w:rsid w:val="004F4545"/>
    <w:rsid w:val="004F46EF"/>
    <w:rsid w:val="004F51F5"/>
    <w:rsid w:val="004F6143"/>
    <w:rsid w:val="004F643C"/>
    <w:rsid w:val="005004C6"/>
    <w:rsid w:val="00500951"/>
    <w:rsid w:val="00501D2A"/>
    <w:rsid w:val="00503D7E"/>
    <w:rsid w:val="00504A35"/>
    <w:rsid w:val="00505B88"/>
    <w:rsid w:val="00505DA2"/>
    <w:rsid w:val="00510A5E"/>
    <w:rsid w:val="00511B01"/>
    <w:rsid w:val="00515CF3"/>
    <w:rsid w:val="005170DE"/>
    <w:rsid w:val="005176CE"/>
    <w:rsid w:val="00520654"/>
    <w:rsid w:val="00520701"/>
    <w:rsid w:val="00520754"/>
    <w:rsid w:val="00520F7D"/>
    <w:rsid w:val="00525161"/>
    <w:rsid w:val="0052592B"/>
    <w:rsid w:val="00526D66"/>
    <w:rsid w:val="00527C7F"/>
    <w:rsid w:val="00527D62"/>
    <w:rsid w:val="00531106"/>
    <w:rsid w:val="005315A0"/>
    <w:rsid w:val="00533458"/>
    <w:rsid w:val="00534632"/>
    <w:rsid w:val="00534E75"/>
    <w:rsid w:val="00536D64"/>
    <w:rsid w:val="005404BB"/>
    <w:rsid w:val="00540A5F"/>
    <w:rsid w:val="0054189A"/>
    <w:rsid w:val="00542D3E"/>
    <w:rsid w:val="00543987"/>
    <w:rsid w:val="00546050"/>
    <w:rsid w:val="00551532"/>
    <w:rsid w:val="00552741"/>
    <w:rsid w:val="00552DB4"/>
    <w:rsid w:val="00553466"/>
    <w:rsid w:val="00555438"/>
    <w:rsid w:val="005562F5"/>
    <w:rsid w:val="0056075B"/>
    <w:rsid w:val="00560D4B"/>
    <w:rsid w:val="00562A73"/>
    <w:rsid w:val="005638E9"/>
    <w:rsid w:val="005649EA"/>
    <w:rsid w:val="005651B5"/>
    <w:rsid w:val="00566C33"/>
    <w:rsid w:val="00570202"/>
    <w:rsid w:val="00570997"/>
    <w:rsid w:val="00571347"/>
    <w:rsid w:val="00571735"/>
    <w:rsid w:val="00572180"/>
    <w:rsid w:val="005727FD"/>
    <w:rsid w:val="00574348"/>
    <w:rsid w:val="00574562"/>
    <w:rsid w:val="00574CB6"/>
    <w:rsid w:val="00576A2C"/>
    <w:rsid w:val="00576AE0"/>
    <w:rsid w:val="005801E1"/>
    <w:rsid w:val="005805EA"/>
    <w:rsid w:val="0058333A"/>
    <w:rsid w:val="00583838"/>
    <w:rsid w:val="00583F6C"/>
    <w:rsid w:val="00586424"/>
    <w:rsid w:val="00586F8E"/>
    <w:rsid w:val="00587684"/>
    <w:rsid w:val="00587CD8"/>
    <w:rsid w:val="00590101"/>
    <w:rsid w:val="00590387"/>
    <w:rsid w:val="005909D3"/>
    <w:rsid w:val="00590BBB"/>
    <w:rsid w:val="00590E9C"/>
    <w:rsid w:val="00591B04"/>
    <w:rsid w:val="00593817"/>
    <w:rsid w:val="00595028"/>
    <w:rsid w:val="0059535E"/>
    <w:rsid w:val="00595AEA"/>
    <w:rsid w:val="005971A8"/>
    <w:rsid w:val="005A072E"/>
    <w:rsid w:val="005A0FFB"/>
    <w:rsid w:val="005A1E62"/>
    <w:rsid w:val="005A3429"/>
    <w:rsid w:val="005A637D"/>
    <w:rsid w:val="005B1560"/>
    <w:rsid w:val="005B4E99"/>
    <w:rsid w:val="005B5266"/>
    <w:rsid w:val="005B64E7"/>
    <w:rsid w:val="005B7A77"/>
    <w:rsid w:val="005C0CDB"/>
    <w:rsid w:val="005C461F"/>
    <w:rsid w:val="005C55DB"/>
    <w:rsid w:val="005C57BF"/>
    <w:rsid w:val="005C5A9D"/>
    <w:rsid w:val="005D0010"/>
    <w:rsid w:val="005D008A"/>
    <w:rsid w:val="005D0DE5"/>
    <w:rsid w:val="005D1D73"/>
    <w:rsid w:val="005D3E8C"/>
    <w:rsid w:val="005D524D"/>
    <w:rsid w:val="005D5617"/>
    <w:rsid w:val="005D6150"/>
    <w:rsid w:val="005E00EE"/>
    <w:rsid w:val="005E1E01"/>
    <w:rsid w:val="005E1F7D"/>
    <w:rsid w:val="005E22E2"/>
    <w:rsid w:val="005E3BAC"/>
    <w:rsid w:val="005E45AD"/>
    <w:rsid w:val="005E47FD"/>
    <w:rsid w:val="005E5A33"/>
    <w:rsid w:val="005E62DE"/>
    <w:rsid w:val="005E66E3"/>
    <w:rsid w:val="005E6743"/>
    <w:rsid w:val="005E7188"/>
    <w:rsid w:val="005E7197"/>
    <w:rsid w:val="005F0663"/>
    <w:rsid w:val="005F0994"/>
    <w:rsid w:val="005F0D83"/>
    <w:rsid w:val="005F1000"/>
    <w:rsid w:val="005F1657"/>
    <w:rsid w:val="005F1951"/>
    <w:rsid w:val="005F2512"/>
    <w:rsid w:val="005F30B6"/>
    <w:rsid w:val="005F3A5E"/>
    <w:rsid w:val="005F46DD"/>
    <w:rsid w:val="005F54E0"/>
    <w:rsid w:val="005F555D"/>
    <w:rsid w:val="005F6D9D"/>
    <w:rsid w:val="005F7488"/>
    <w:rsid w:val="006007B2"/>
    <w:rsid w:val="00600880"/>
    <w:rsid w:val="00600E8B"/>
    <w:rsid w:val="006011B4"/>
    <w:rsid w:val="00601DCF"/>
    <w:rsid w:val="00602831"/>
    <w:rsid w:val="00603811"/>
    <w:rsid w:val="00605029"/>
    <w:rsid w:val="006053FB"/>
    <w:rsid w:val="00610015"/>
    <w:rsid w:val="006105A6"/>
    <w:rsid w:val="00612739"/>
    <w:rsid w:val="00612DFA"/>
    <w:rsid w:val="006154C4"/>
    <w:rsid w:val="00620640"/>
    <w:rsid w:val="006213A3"/>
    <w:rsid w:val="00624A96"/>
    <w:rsid w:val="00625396"/>
    <w:rsid w:val="00625D2B"/>
    <w:rsid w:val="0062602F"/>
    <w:rsid w:val="00627436"/>
    <w:rsid w:val="00630405"/>
    <w:rsid w:val="00630818"/>
    <w:rsid w:val="006317D9"/>
    <w:rsid w:val="0063301C"/>
    <w:rsid w:val="00633439"/>
    <w:rsid w:val="00633F36"/>
    <w:rsid w:val="006340A7"/>
    <w:rsid w:val="0063678F"/>
    <w:rsid w:val="00641312"/>
    <w:rsid w:val="00642E91"/>
    <w:rsid w:val="00643112"/>
    <w:rsid w:val="0064389B"/>
    <w:rsid w:val="00645395"/>
    <w:rsid w:val="00645814"/>
    <w:rsid w:val="00650AF2"/>
    <w:rsid w:val="00652391"/>
    <w:rsid w:val="00652687"/>
    <w:rsid w:val="00653182"/>
    <w:rsid w:val="006535DB"/>
    <w:rsid w:val="006552EF"/>
    <w:rsid w:val="006560DC"/>
    <w:rsid w:val="00660706"/>
    <w:rsid w:val="00661A83"/>
    <w:rsid w:val="00661D9F"/>
    <w:rsid w:val="00663690"/>
    <w:rsid w:val="0066511A"/>
    <w:rsid w:val="0067043D"/>
    <w:rsid w:val="00671AA5"/>
    <w:rsid w:val="00674836"/>
    <w:rsid w:val="00674A35"/>
    <w:rsid w:val="00675233"/>
    <w:rsid w:val="0067547D"/>
    <w:rsid w:val="00675630"/>
    <w:rsid w:val="00675E92"/>
    <w:rsid w:val="006772BB"/>
    <w:rsid w:val="00677AF7"/>
    <w:rsid w:val="0068038A"/>
    <w:rsid w:val="00681139"/>
    <w:rsid w:val="0068215A"/>
    <w:rsid w:val="00682DC5"/>
    <w:rsid w:val="00683E48"/>
    <w:rsid w:val="00685BEF"/>
    <w:rsid w:val="006861C2"/>
    <w:rsid w:val="00686A4E"/>
    <w:rsid w:val="00690596"/>
    <w:rsid w:val="00690B51"/>
    <w:rsid w:val="006917C9"/>
    <w:rsid w:val="00692EA8"/>
    <w:rsid w:val="00694E70"/>
    <w:rsid w:val="00695435"/>
    <w:rsid w:val="006956DB"/>
    <w:rsid w:val="00696FAB"/>
    <w:rsid w:val="006970F5"/>
    <w:rsid w:val="006A03A0"/>
    <w:rsid w:val="006A08D1"/>
    <w:rsid w:val="006A0ED3"/>
    <w:rsid w:val="006A27E0"/>
    <w:rsid w:val="006A2D07"/>
    <w:rsid w:val="006A309E"/>
    <w:rsid w:val="006A41DC"/>
    <w:rsid w:val="006A4897"/>
    <w:rsid w:val="006A52C5"/>
    <w:rsid w:val="006A55A4"/>
    <w:rsid w:val="006A570C"/>
    <w:rsid w:val="006A57FF"/>
    <w:rsid w:val="006A5821"/>
    <w:rsid w:val="006A58FE"/>
    <w:rsid w:val="006A6C14"/>
    <w:rsid w:val="006A70B3"/>
    <w:rsid w:val="006A79B3"/>
    <w:rsid w:val="006B17CC"/>
    <w:rsid w:val="006B20A0"/>
    <w:rsid w:val="006B5926"/>
    <w:rsid w:val="006B66F8"/>
    <w:rsid w:val="006B7928"/>
    <w:rsid w:val="006B7D87"/>
    <w:rsid w:val="006C0D89"/>
    <w:rsid w:val="006C16BB"/>
    <w:rsid w:val="006C18B0"/>
    <w:rsid w:val="006C1D4D"/>
    <w:rsid w:val="006C1FAC"/>
    <w:rsid w:val="006C2000"/>
    <w:rsid w:val="006C25F3"/>
    <w:rsid w:val="006C3FA7"/>
    <w:rsid w:val="006C64F7"/>
    <w:rsid w:val="006C736A"/>
    <w:rsid w:val="006C76BA"/>
    <w:rsid w:val="006C78D2"/>
    <w:rsid w:val="006D2EFC"/>
    <w:rsid w:val="006D451A"/>
    <w:rsid w:val="006D7FCC"/>
    <w:rsid w:val="006E0DE1"/>
    <w:rsid w:val="006E14B3"/>
    <w:rsid w:val="006E21FC"/>
    <w:rsid w:val="006E31F2"/>
    <w:rsid w:val="006E38A9"/>
    <w:rsid w:val="006E3DD8"/>
    <w:rsid w:val="006E6ABC"/>
    <w:rsid w:val="006F3B0F"/>
    <w:rsid w:val="006F3D03"/>
    <w:rsid w:val="006F4FC0"/>
    <w:rsid w:val="006F66A1"/>
    <w:rsid w:val="006F6F90"/>
    <w:rsid w:val="006F7C30"/>
    <w:rsid w:val="006F7F55"/>
    <w:rsid w:val="00700021"/>
    <w:rsid w:val="007006EB"/>
    <w:rsid w:val="0070075F"/>
    <w:rsid w:val="00701D0E"/>
    <w:rsid w:val="00701D76"/>
    <w:rsid w:val="00702684"/>
    <w:rsid w:val="007028D3"/>
    <w:rsid w:val="00703664"/>
    <w:rsid w:val="00704F73"/>
    <w:rsid w:val="00706735"/>
    <w:rsid w:val="00706D21"/>
    <w:rsid w:val="007070F1"/>
    <w:rsid w:val="007102E8"/>
    <w:rsid w:val="007112F4"/>
    <w:rsid w:val="00711ABB"/>
    <w:rsid w:val="0071208E"/>
    <w:rsid w:val="007120BD"/>
    <w:rsid w:val="007132EB"/>
    <w:rsid w:val="00713496"/>
    <w:rsid w:val="00713BF1"/>
    <w:rsid w:val="00713D5F"/>
    <w:rsid w:val="007146F4"/>
    <w:rsid w:val="007154C6"/>
    <w:rsid w:val="00715BB5"/>
    <w:rsid w:val="00716A64"/>
    <w:rsid w:val="007173D5"/>
    <w:rsid w:val="0071769E"/>
    <w:rsid w:val="00720CBA"/>
    <w:rsid w:val="00720EFB"/>
    <w:rsid w:val="00721DB1"/>
    <w:rsid w:val="00722179"/>
    <w:rsid w:val="00722BF5"/>
    <w:rsid w:val="007255B0"/>
    <w:rsid w:val="007260D4"/>
    <w:rsid w:val="00726DD4"/>
    <w:rsid w:val="00727CE8"/>
    <w:rsid w:val="00727FC1"/>
    <w:rsid w:val="007305A8"/>
    <w:rsid w:val="00730820"/>
    <w:rsid w:val="00731FA8"/>
    <w:rsid w:val="00732713"/>
    <w:rsid w:val="0073365C"/>
    <w:rsid w:val="007346D1"/>
    <w:rsid w:val="007348AB"/>
    <w:rsid w:val="00734CB7"/>
    <w:rsid w:val="00736B15"/>
    <w:rsid w:val="007406F1"/>
    <w:rsid w:val="00742121"/>
    <w:rsid w:val="0074286D"/>
    <w:rsid w:val="007437BA"/>
    <w:rsid w:val="0074386D"/>
    <w:rsid w:val="0074417A"/>
    <w:rsid w:val="00744D88"/>
    <w:rsid w:val="00746951"/>
    <w:rsid w:val="00746C2F"/>
    <w:rsid w:val="00746C44"/>
    <w:rsid w:val="00746E16"/>
    <w:rsid w:val="0075248B"/>
    <w:rsid w:val="007524CA"/>
    <w:rsid w:val="007548E7"/>
    <w:rsid w:val="007563DF"/>
    <w:rsid w:val="007571C5"/>
    <w:rsid w:val="00757312"/>
    <w:rsid w:val="007603E8"/>
    <w:rsid w:val="007614F9"/>
    <w:rsid w:val="007615E5"/>
    <w:rsid w:val="00763246"/>
    <w:rsid w:val="00764825"/>
    <w:rsid w:val="00772D7C"/>
    <w:rsid w:val="00772ED4"/>
    <w:rsid w:val="007731E9"/>
    <w:rsid w:val="00773C42"/>
    <w:rsid w:val="007755A8"/>
    <w:rsid w:val="0077631C"/>
    <w:rsid w:val="00776C01"/>
    <w:rsid w:val="00777497"/>
    <w:rsid w:val="00777970"/>
    <w:rsid w:val="0078062F"/>
    <w:rsid w:val="00780920"/>
    <w:rsid w:val="00780D7A"/>
    <w:rsid w:val="007813EA"/>
    <w:rsid w:val="00781D91"/>
    <w:rsid w:val="00782346"/>
    <w:rsid w:val="00782861"/>
    <w:rsid w:val="00782D1C"/>
    <w:rsid w:val="00784D99"/>
    <w:rsid w:val="00787562"/>
    <w:rsid w:val="007901FF"/>
    <w:rsid w:val="00790790"/>
    <w:rsid w:val="007918EE"/>
    <w:rsid w:val="00791FFF"/>
    <w:rsid w:val="00793540"/>
    <w:rsid w:val="007942E6"/>
    <w:rsid w:val="007946B0"/>
    <w:rsid w:val="00797342"/>
    <w:rsid w:val="007975A9"/>
    <w:rsid w:val="0079787B"/>
    <w:rsid w:val="007A2260"/>
    <w:rsid w:val="007A2465"/>
    <w:rsid w:val="007A38DE"/>
    <w:rsid w:val="007A4185"/>
    <w:rsid w:val="007A5162"/>
    <w:rsid w:val="007A5A01"/>
    <w:rsid w:val="007A6198"/>
    <w:rsid w:val="007A728C"/>
    <w:rsid w:val="007A7A4F"/>
    <w:rsid w:val="007B03C0"/>
    <w:rsid w:val="007B2BD0"/>
    <w:rsid w:val="007B4B9C"/>
    <w:rsid w:val="007B687C"/>
    <w:rsid w:val="007B7673"/>
    <w:rsid w:val="007C0BFD"/>
    <w:rsid w:val="007C0F80"/>
    <w:rsid w:val="007C1B0C"/>
    <w:rsid w:val="007C3395"/>
    <w:rsid w:val="007C4359"/>
    <w:rsid w:val="007C48CA"/>
    <w:rsid w:val="007C63CF"/>
    <w:rsid w:val="007C65FC"/>
    <w:rsid w:val="007C717B"/>
    <w:rsid w:val="007D0897"/>
    <w:rsid w:val="007D0BC2"/>
    <w:rsid w:val="007D3128"/>
    <w:rsid w:val="007D3286"/>
    <w:rsid w:val="007D351B"/>
    <w:rsid w:val="007D3679"/>
    <w:rsid w:val="007D44AA"/>
    <w:rsid w:val="007D5554"/>
    <w:rsid w:val="007D588E"/>
    <w:rsid w:val="007E0B2A"/>
    <w:rsid w:val="007E14E8"/>
    <w:rsid w:val="007E244C"/>
    <w:rsid w:val="007E2BA9"/>
    <w:rsid w:val="007E2FB9"/>
    <w:rsid w:val="007E3B1D"/>
    <w:rsid w:val="007E4494"/>
    <w:rsid w:val="007E48B3"/>
    <w:rsid w:val="007E70D0"/>
    <w:rsid w:val="007E71FA"/>
    <w:rsid w:val="007E729D"/>
    <w:rsid w:val="007F03E8"/>
    <w:rsid w:val="007F0E68"/>
    <w:rsid w:val="007F19FB"/>
    <w:rsid w:val="007F2766"/>
    <w:rsid w:val="007F2AC0"/>
    <w:rsid w:val="007F2EAD"/>
    <w:rsid w:val="007F4142"/>
    <w:rsid w:val="007F5BBE"/>
    <w:rsid w:val="007F5DAE"/>
    <w:rsid w:val="007F7A2A"/>
    <w:rsid w:val="008007CC"/>
    <w:rsid w:val="00800A30"/>
    <w:rsid w:val="00801FAE"/>
    <w:rsid w:val="008024B7"/>
    <w:rsid w:val="008026A3"/>
    <w:rsid w:val="00802F2D"/>
    <w:rsid w:val="00803283"/>
    <w:rsid w:val="0080461F"/>
    <w:rsid w:val="008111AB"/>
    <w:rsid w:val="0081215D"/>
    <w:rsid w:val="008145ED"/>
    <w:rsid w:val="00815559"/>
    <w:rsid w:val="00815B0C"/>
    <w:rsid w:val="00816357"/>
    <w:rsid w:val="0081651F"/>
    <w:rsid w:val="00816ADD"/>
    <w:rsid w:val="0081794A"/>
    <w:rsid w:val="00820E7B"/>
    <w:rsid w:val="00824559"/>
    <w:rsid w:val="00824963"/>
    <w:rsid w:val="00831611"/>
    <w:rsid w:val="00831AFB"/>
    <w:rsid w:val="008322DE"/>
    <w:rsid w:val="0083337A"/>
    <w:rsid w:val="0083413C"/>
    <w:rsid w:val="00835836"/>
    <w:rsid w:val="008359EF"/>
    <w:rsid w:val="00836128"/>
    <w:rsid w:val="00837168"/>
    <w:rsid w:val="00837CC2"/>
    <w:rsid w:val="00840317"/>
    <w:rsid w:val="0084119B"/>
    <w:rsid w:val="00841908"/>
    <w:rsid w:val="00842A1C"/>
    <w:rsid w:val="00842BDA"/>
    <w:rsid w:val="00844456"/>
    <w:rsid w:val="008467D9"/>
    <w:rsid w:val="00847AA1"/>
    <w:rsid w:val="008502D3"/>
    <w:rsid w:val="00854886"/>
    <w:rsid w:val="00854AAF"/>
    <w:rsid w:val="008578CE"/>
    <w:rsid w:val="0085797D"/>
    <w:rsid w:val="008609FB"/>
    <w:rsid w:val="00860AF4"/>
    <w:rsid w:val="00861E01"/>
    <w:rsid w:val="00862DF1"/>
    <w:rsid w:val="00863C40"/>
    <w:rsid w:val="008646F1"/>
    <w:rsid w:val="00867911"/>
    <w:rsid w:val="00870254"/>
    <w:rsid w:val="008713D6"/>
    <w:rsid w:val="00873A67"/>
    <w:rsid w:val="00873B57"/>
    <w:rsid w:val="00874A5C"/>
    <w:rsid w:val="00876568"/>
    <w:rsid w:val="00877D66"/>
    <w:rsid w:val="00877E62"/>
    <w:rsid w:val="00881117"/>
    <w:rsid w:val="00882370"/>
    <w:rsid w:val="00882470"/>
    <w:rsid w:val="00882497"/>
    <w:rsid w:val="008834F1"/>
    <w:rsid w:val="00883BA5"/>
    <w:rsid w:val="008858BA"/>
    <w:rsid w:val="00886B96"/>
    <w:rsid w:val="008876A4"/>
    <w:rsid w:val="00887CF7"/>
    <w:rsid w:val="0089042C"/>
    <w:rsid w:val="0089195F"/>
    <w:rsid w:val="00892027"/>
    <w:rsid w:val="0089249D"/>
    <w:rsid w:val="00892A91"/>
    <w:rsid w:val="00892AF0"/>
    <w:rsid w:val="008947B2"/>
    <w:rsid w:val="00896907"/>
    <w:rsid w:val="00896B71"/>
    <w:rsid w:val="00896EA4"/>
    <w:rsid w:val="008A0B26"/>
    <w:rsid w:val="008A4A17"/>
    <w:rsid w:val="008A4C26"/>
    <w:rsid w:val="008A4DE6"/>
    <w:rsid w:val="008A63D4"/>
    <w:rsid w:val="008A7247"/>
    <w:rsid w:val="008B2A89"/>
    <w:rsid w:val="008B5517"/>
    <w:rsid w:val="008B58F4"/>
    <w:rsid w:val="008B60DA"/>
    <w:rsid w:val="008B7835"/>
    <w:rsid w:val="008C0E88"/>
    <w:rsid w:val="008C0F15"/>
    <w:rsid w:val="008C1F23"/>
    <w:rsid w:val="008C634D"/>
    <w:rsid w:val="008C6F57"/>
    <w:rsid w:val="008C752C"/>
    <w:rsid w:val="008D08D7"/>
    <w:rsid w:val="008D0D21"/>
    <w:rsid w:val="008D1E6C"/>
    <w:rsid w:val="008D416F"/>
    <w:rsid w:val="008D46FC"/>
    <w:rsid w:val="008D4AA5"/>
    <w:rsid w:val="008D4D46"/>
    <w:rsid w:val="008D4E59"/>
    <w:rsid w:val="008D68F8"/>
    <w:rsid w:val="008E0B78"/>
    <w:rsid w:val="008E0F80"/>
    <w:rsid w:val="008E1EF5"/>
    <w:rsid w:val="008E4C10"/>
    <w:rsid w:val="008E4CD5"/>
    <w:rsid w:val="008E4E5B"/>
    <w:rsid w:val="008E66FE"/>
    <w:rsid w:val="008E6D3A"/>
    <w:rsid w:val="008E7019"/>
    <w:rsid w:val="008F0B21"/>
    <w:rsid w:val="008F54FC"/>
    <w:rsid w:val="008F5B3C"/>
    <w:rsid w:val="008F6DE9"/>
    <w:rsid w:val="008F7209"/>
    <w:rsid w:val="009016C9"/>
    <w:rsid w:val="00901877"/>
    <w:rsid w:val="00901F09"/>
    <w:rsid w:val="00902192"/>
    <w:rsid w:val="009025D7"/>
    <w:rsid w:val="00902E36"/>
    <w:rsid w:val="009037A6"/>
    <w:rsid w:val="00904EC6"/>
    <w:rsid w:val="00906A48"/>
    <w:rsid w:val="009103E0"/>
    <w:rsid w:val="00911B31"/>
    <w:rsid w:val="0091348A"/>
    <w:rsid w:val="00914713"/>
    <w:rsid w:val="00915494"/>
    <w:rsid w:val="00916F0E"/>
    <w:rsid w:val="00917371"/>
    <w:rsid w:val="00920217"/>
    <w:rsid w:val="009225BB"/>
    <w:rsid w:val="009238AD"/>
    <w:rsid w:val="00923C2B"/>
    <w:rsid w:val="00924D3B"/>
    <w:rsid w:val="00926F4A"/>
    <w:rsid w:val="00927F41"/>
    <w:rsid w:val="009307E1"/>
    <w:rsid w:val="00931B7B"/>
    <w:rsid w:val="00931DAE"/>
    <w:rsid w:val="00932617"/>
    <w:rsid w:val="0093281C"/>
    <w:rsid w:val="00933401"/>
    <w:rsid w:val="00933E53"/>
    <w:rsid w:val="009356B1"/>
    <w:rsid w:val="00935868"/>
    <w:rsid w:val="00936E59"/>
    <w:rsid w:val="0093718E"/>
    <w:rsid w:val="009417C6"/>
    <w:rsid w:val="00941D12"/>
    <w:rsid w:val="009428DD"/>
    <w:rsid w:val="00943BE6"/>
    <w:rsid w:val="00944AC8"/>
    <w:rsid w:val="0094609F"/>
    <w:rsid w:val="009472DC"/>
    <w:rsid w:val="0094737E"/>
    <w:rsid w:val="009473D5"/>
    <w:rsid w:val="00947533"/>
    <w:rsid w:val="00947D52"/>
    <w:rsid w:val="00950F71"/>
    <w:rsid w:val="00952FBB"/>
    <w:rsid w:val="00953442"/>
    <w:rsid w:val="00955FC5"/>
    <w:rsid w:val="009563BA"/>
    <w:rsid w:val="00956CCF"/>
    <w:rsid w:val="0095792A"/>
    <w:rsid w:val="00961434"/>
    <w:rsid w:val="00963462"/>
    <w:rsid w:val="009634BE"/>
    <w:rsid w:val="00964383"/>
    <w:rsid w:val="00964FAB"/>
    <w:rsid w:val="00965CCF"/>
    <w:rsid w:val="009661E3"/>
    <w:rsid w:val="00966E5E"/>
    <w:rsid w:val="009672B5"/>
    <w:rsid w:val="00970112"/>
    <w:rsid w:val="0097038E"/>
    <w:rsid w:val="0097050B"/>
    <w:rsid w:val="0097303C"/>
    <w:rsid w:val="009749E0"/>
    <w:rsid w:val="00975841"/>
    <w:rsid w:val="00976031"/>
    <w:rsid w:val="009762F4"/>
    <w:rsid w:val="009774E8"/>
    <w:rsid w:val="00980F95"/>
    <w:rsid w:val="009818DA"/>
    <w:rsid w:val="00983175"/>
    <w:rsid w:val="00983B73"/>
    <w:rsid w:val="009846A6"/>
    <w:rsid w:val="0098569B"/>
    <w:rsid w:val="009866F4"/>
    <w:rsid w:val="00987921"/>
    <w:rsid w:val="0099002B"/>
    <w:rsid w:val="00990F53"/>
    <w:rsid w:val="00991603"/>
    <w:rsid w:val="0099172F"/>
    <w:rsid w:val="009928D0"/>
    <w:rsid w:val="00992ED8"/>
    <w:rsid w:val="009941E6"/>
    <w:rsid w:val="009951B8"/>
    <w:rsid w:val="009952AC"/>
    <w:rsid w:val="00995739"/>
    <w:rsid w:val="0099669E"/>
    <w:rsid w:val="0099694B"/>
    <w:rsid w:val="009971E7"/>
    <w:rsid w:val="00997537"/>
    <w:rsid w:val="009A0021"/>
    <w:rsid w:val="009A072E"/>
    <w:rsid w:val="009A2434"/>
    <w:rsid w:val="009A2A3D"/>
    <w:rsid w:val="009A2C14"/>
    <w:rsid w:val="009A38F4"/>
    <w:rsid w:val="009A3BC6"/>
    <w:rsid w:val="009A3BE2"/>
    <w:rsid w:val="009A55BB"/>
    <w:rsid w:val="009A6771"/>
    <w:rsid w:val="009A78A3"/>
    <w:rsid w:val="009B0228"/>
    <w:rsid w:val="009B0666"/>
    <w:rsid w:val="009B1A86"/>
    <w:rsid w:val="009B367A"/>
    <w:rsid w:val="009B3E23"/>
    <w:rsid w:val="009B6115"/>
    <w:rsid w:val="009B62DE"/>
    <w:rsid w:val="009B661A"/>
    <w:rsid w:val="009C0259"/>
    <w:rsid w:val="009C1206"/>
    <w:rsid w:val="009C2225"/>
    <w:rsid w:val="009C4247"/>
    <w:rsid w:val="009C4ACA"/>
    <w:rsid w:val="009C4C71"/>
    <w:rsid w:val="009C4D31"/>
    <w:rsid w:val="009C59E7"/>
    <w:rsid w:val="009C6CE6"/>
    <w:rsid w:val="009C70D6"/>
    <w:rsid w:val="009C7355"/>
    <w:rsid w:val="009D08CD"/>
    <w:rsid w:val="009D0C3B"/>
    <w:rsid w:val="009D28D2"/>
    <w:rsid w:val="009D3FCD"/>
    <w:rsid w:val="009D4DF1"/>
    <w:rsid w:val="009D50FF"/>
    <w:rsid w:val="009D597A"/>
    <w:rsid w:val="009D747B"/>
    <w:rsid w:val="009E132F"/>
    <w:rsid w:val="009E1DA2"/>
    <w:rsid w:val="009E2508"/>
    <w:rsid w:val="009E3635"/>
    <w:rsid w:val="009E367C"/>
    <w:rsid w:val="009E41B7"/>
    <w:rsid w:val="009E4D7A"/>
    <w:rsid w:val="009E4EDD"/>
    <w:rsid w:val="009E565D"/>
    <w:rsid w:val="009F0ABC"/>
    <w:rsid w:val="009F0C2C"/>
    <w:rsid w:val="009F0C45"/>
    <w:rsid w:val="009F2EB5"/>
    <w:rsid w:val="009F3D69"/>
    <w:rsid w:val="009F4758"/>
    <w:rsid w:val="009F580D"/>
    <w:rsid w:val="009F62D2"/>
    <w:rsid w:val="009F636E"/>
    <w:rsid w:val="009F7572"/>
    <w:rsid w:val="009F77A9"/>
    <w:rsid w:val="00A00926"/>
    <w:rsid w:val="00A01DB1"/>
    <w:rsid w:val="00A0251F"/>
    <w:rsid w:val="00A03248"/>
    <w:rsid w:val="00A03B7E"/>
    <w:rsid w:val="00A03B98"/>
    <w:rsid w:val="00A03BC1"/>
    <w:rsid w:val="00A03F4D"/>
    <w:rsid w:val="00A04E74"/>
    <w:rsid w:val="00A07E5B"/>
    <w:rsid w:val="00A10EA6"/>
    <w:rsid w:val="00A124DB"/>
    <w:rsid w:val="00A1272D"/>
    <w:rsid w:val="00A1362C"/>
    <w:rsid w:val="00A1396D"/>
    <w:rsid w:val="00A16665"/>
    <w:rsid w:val="00A17562"/>
    <w:rsid w:val="00A20668"/>
    <w:rsid w:val="00A20C21"/>
    <w:rsid w:val="00A20D40"/>
    <w:rsid w:val="00A22322"/>
    <w:rsid w:val="00A2263D"/>
    <w:rsid w:val="00A22EA6"/>
    <w:rsid w:val="00A2301E"/>
    <w:rsid w:val="00A239A4"/>
    <w:rsid w:val="00A242F0"/>
    <w:rsid w:val="00A24911"/>
    <w:rsid w:val="00A262AF"/>
    <w:rsid w:val="00A26A9C"/>
    <w:rsid w:val="00A26C2E"/>
    <w:rsid w:val="00A301ED"/>
    <w:rsid w:val="00A316F1"/>
    <w:rsid w:val="00A31D4C"/>
    <w:rsid w:val="00A32638"/>
    <w:rsid w:val="00A32B84"/>
    <w:rsid w:val="00A3478C"/>
    <w:rsid w:val="00A34D9B"/>
    <w:rsid w:val="00A379AD"/>
    <w:rsid w:val="00A37DB3"/>
    <w:rsid w:val="00A37E45"/>
    <w:rsid w:val="00A40A0A"/>
    <w:rsid w:val="00A41FAB"/>
    <w:rsid w:val="00A43F09"/>
    <w:rsid w:val="00A455A2"/>
    <w:rsid w:val="00A45B0A"/>
    <w:rsid w:val="00A46A23"/>
    <w:rsid w:val="00A479EF"/>
    <w:rsid w:val="00A47B05"/>
    <w:rsid w:val="00A516A6"/>
    <w:rsid w:val="00A523E1"/>
    <w:rsid w:val="00A524A6"/>
    <w:rsid w:val="00A53654"/>
    <w:rsid w:val="00A53BD6"/>
    <w:rsid w:val="00A54734"/>
    <w:rsid w:val="00A54AC8"/>
    <w:rsid w:val="00A55F5C"/>
    <w:rsid w:val="00A56D8E"/>
    <w:rsid w:val="00A56EA8"/>
    <w:rsid w:val="00A57D21"/>
    <w:rsid w:val="00A57EEF"/>
    <w:rsid w:val="00A6063A"/>
    <w:rsid w:val="00A60D26"/>
    <w:rsid w:val="00A613F9"/>
    <w:rsid w:val="00A622FB"/>
    <w:rsid w:val="00A62660"/>
    <w:rsid w:val="00A63C4C"/>
    <w:rsid w:val="00A64290"/>
    <w:rsid w:val="00A646A5"/>
    <w:rsid w:val="00A64740"/>
    <w:rsid w:val="00A65A29"/>
    <w:rsid w:val="00A6679F"/>
    <w:rsid w:val="00A71629"/>
    <w:rsid w:val="00A722FF"/>
    <w:rsid w:val="00A72E4E"/>
    <w:rsid w:val="00A72F9B"/>
    <w:rsid w:val="00A73FC4"/>
    <w:rsid w:val="00A7647B"/>
    <w:rsid w:val="00A800F0"/>
    <w:rsid w:val="00A82EDE"/>
    <w:rsid w:val="00A83A43"/>
    <w:rsid w:val="00A83E0A"/>
    <w:rsid w:val="00A850A8"/>
    <w:rsid w:val="00A8533D"/>
    <w:rsid w:val="00A86A05"/>
    <w:rsid w:val="00A87042"/>
    <w:rsid w:val="00A90747"/>
    <w:rsid w:val="00A9201C"/>
    <w:rsid w:val="00A921DD"/>
    <w:rsid w:val="00A93E65"/>
    <w:rsid w:val="00A9488A"/>
    <w:rsid w:val="00A95E7C"/>
    <w:rsid w:val="00A96936"/>
    <w:rsid w:val="00AA02EE"/>
    <w:rsid w:val="00AA2790"/>
    <w:rsid w:val="00AB158E"/>
    <w:rsid w:val="00AB2969"/>
    <w:rsid w:val="00AB36CB"/>
    <w:rsid w:val="00AB492B"/>
    <w:rsid w:val="00AB494A"/>
    <w:rsid w:val="00AB4EEF"/>
    <w:rsid w:val="00AB52DC"/>
    <w:rsid w:val="00AB75F2"/>
    <w:rsid w:val="00AB7CED"/>
    <w:rsid w:val="00AC0598"/>
    <w:rsid w:val="00AC0981"/>
    <w:rsid w:val="00AC140E"/>
    <w:rsid w:val="00AC166C"/>
    <w:rsid w:val="00AC1C23"/>
    <w:rsid w:val="00AC2A96"/>
    <w:rsid w:val="00AC4B78"/>
    <w:rsid w:val="00AC5CB2"/>
    <w:rsid w:val="00AC722C"/>
    <w:rsid w:val="00AD08DD"/>
    <w:rsid w:val="00AD16E5"/>
    <w:rsid w:val="00AD172A"/>
    <w:rsid w:val="00AD1CB1"/>
    <w:rsid w:val="00AD23DE"/>
    <w:rsid w:val="00AD2DEF"/>
    <w:rsid w:val="00AD3A0D"/>
    <w:rsid w:val="00AD454E"/>
    <w:rsid w:val="00AD6E6E"/>
    <w:rsid w:val="00AD74A9"/>
    <w:rsid w:val="00AD77D4"/>
    <w:rsid w:val="00AE0803"/>
    <w:rsid w:val="00AE144F"/>
    <w:rsid w:val="00AE1983"/>
    <w:rsid w:val="00AE279E"/>
    <w:rsid w:val="00AE36DF"/>
    <w:rsid w:val="00AE3DF1"/>
    <w:rsid w:val="00AE3E91"/>
    <w:rsid w:val="00AE4281"/>
    <w:rsid w:val="00AE4AC4"/>
    <w:rsid w:val="00AE7154"/>
    <w:rsid w:val="00AE788B"/>
    <w:rsid w:val="00AF0F56"/>
    <w:rsid w:val="00AF1280"/>
    <w:rsid w:val="00AF13F6"/>
    <w:rsid w:val="00AF317B"/>
    <w:rsid w:val="00AF44D9"/>
    <w:rsid w:val="00AF58C0"/>
    <w:rsid w:val="00AF7C7F"/>
    <w:rsid w:val="00B012FE"/>
    <w:rsid w:val="00B02001"/>
    <w:rsid w:val="00B0216E"/>
    <w:rsid w:val="00B02DB4"/>
    <w:rsid w:val="00B0378B"/>
    <w:rsid w:val="00B0401B"/>
    <w:rsid w:val="00B042DF"/>
    <w:rsid w:val="00B0456C"/>
    <w:rsid w:val="00B05C29"/>
    <w:rsid w:val="00B0675D"/>
    <w:rsid w:val="00B06A81"/>
    <w:rsid w:val="00B073C5"/>
    <w:rsid w:val="00B078DB"/>
    <w:rsid w:val="00B104A5"/>
    <w:rsid w:val="00B10BE8"/>
    <w:rsid w:val="00B11CCE"/>
    <w:rsid w:val="00B1305A"/>
    <w:rsid w:val="00B136A4"/>
    <w:rsid w:val="00B1393E"/>
    <w:rsid w:val="00B141D3"/>
    <w:rsid w:val="00B141FE"/>
    <w:rsid w:val="00B167E0"/>
    <w:rsid w:val="00B16FF6"/>
    <w:rsid w:val="00B1761A"/>
    <w:rsid w:val="00B21FF7"/>
    <w:rsid w:val="00B2288C"/>
    <w:rsid w:val="00B2326A"/>
    <w:rsid w:val="00B23593"/>
    <w:rsid w:val="00B2409D"/>
    <w:rsid w:val="00B244FF"/>
    <w:rsid w:val="00B25627"/>
    <w:rsid w:val="00B26376"/>
    <w:rsid w:val="00B318EC"/>
    <w:rsid w:val="00B31B75"/>
    <w:rsid w:val="00B3235C"/>
    <w:rsid w:val="00B3480C"/>
    <w:rsid w:val="00B3539D"/>
    <w:rsid w:val="00B354D7"/>
    <w:rsid w:val="00B405DE"/>
    <w:rsid w:val="00B40CD2"/>
    <w:rsid w:val="00B427D9"/>
    <w:rsid w:val="00B42C6D"/>
    <w:rsid w:val="00B4461F"/>
    <w:rsid w:val="00B45C82"/>
    <w:rsid w:val="00B46147"/>
    <w:rsid w:val="00B46151"/>
    <w:rsid w:val="00B471C8"/>
    <w:rsid w:val="00B500AF"/>
    <w:rsid w:val="00B50C24"/>
    <w:rsid w:val="00B51C36"/>
    <w:rsid w:val="00B55AE0"/>
    <w:rsid w:val="00B563EF"/>
    <w:rsid w:val="00B5743D"/>
    <w:rsid w:val="00B60C2A"/>
    <w:rsid w:val="00B61136"/>
    <w:rsid w:val="00B611E9"/>
    <w:rsid w:val="00B61AB1"/>
    <w:rsid w:val="00B62E2D"/>
    <w:rsid w:val="00B63114"/>
    <w:rsid w:val="00B63757"/>
    <w:rsid w:val="00B64845"/>
    <w:rsid w:val="00B703E4"/>
    <w:rsid w:val="00B72589"/>
    <w:rsid w:val="00B75B79"/>
    <w:rsid w:val="00B76BA9"/>
    <w:rsid w:val="00B76CD2"/>
    <w:rsid w:val="00B77C5D"/>
    <w:rsid w:val="00B8385A"/>
    <w:rsid w:val="00B84595"/>
    <w:rsid w:val="00B84A5F"/>
    <w:rsid w:val="00B854BC"/>
    <w:rsid w:val="00B856FD"/>
    <w:rsid w:val="00B85BA9"/>
    <w:rsid w:val="00B87A83"/>
    <w:rsid w:val="00B87CA7"/>
    <w:rsid w:val="00B90B5D"/>
    <w:rsid w:val="00B931E4"/>
    <w:rsid w:val="00B94080"/>
    <w:rsid w:val="00B9550D"/>
    <w:rsid w:val="00B95AA0"/>
    <w:rsid w:val="00B9648B"/>
    <w:rsid w:val="00BA16BC"/>
    <w:rsid w:val="00BA245C"/>
    <w:rsid w:val="00BA318A"/>
    <w:rsid w:val="00BA5551"/>
    <w:rsid w:val="00BA57B9"/>
    <w:rsid w:val="00BA697B"/>
    <w:rsid w:val="00BA6C04"/>
    <w:rsid w:val="00BA6DC0"/>
    <w:rsid w:val="00BB0876"/>
    <w:rsid w:val="00BB0A69"/>
    <w:rsid w:val="00BB1413"/>
    <w:rsid w:val="00BB23FF"/>
    <w:rsid w:val="00BB3C23"/>
    <w:rsid w:val="00BB3EB9"/>
    <w:rsid w:val="00BB4409"/>
    <w:rsid w:val="00BB4D21"/>
    <w:rsid w:val="00BB5484"/>
    <w:rsid w:val="00BB5849"/>
    <w:rsid w:val="00BB58DE"/>
    <w:rsid w:val="00BB62E9"/>
    <w:rsid w:val="00BB66DC"/>
    <w:rsid w:val="00BB6FA7"/>
    <w:rsid w:val="00BC0D7C"/>
    <w:rsid w:val="00BC19BA"/>
    <w:rsid w:val="00BC2F03"/>
    <w:rsid w:val="00BC3805"/>
    <w:rsid w:val="00BC3B79"/>
    <w:rsid w:val="00BC63CB"/>
    <w:rsid w:val="00BC6C19"/>
    <w:rsid w:val="00BD0759"/>
    <w:rsid w:val="00BD3FB1"/>
    <w:rsid w:val="00BD4F62"/>
    <w:rsid w:val="00BD633F"/>
    <w:rsid w:val="00BD682A"/>
    <w:rsid w:val="00BD78B0"/>
    <w:rsid w:val="00BE1341"/>
    <w:rsid w:val="00BE1FEE"/>
    <w:rsid w:val="00BE4DD3"/>
    <w:rsid w:val="00BE54C7"/>
    <w:rsid w:val="00BE5FE1"/>
    <w:rsid w:val="00BE63D7"/>
    <w:rsid w:val="00BE667B"/>
    <w:rsid w:val="00BE715F"/>
    <w:rsid w:val="00BF0520"/>
    <w:rsid w:val="00BF0ABE"/>
    <w:rsid w:val="00BF1DE9"/>
    <w:rsid w:val="00BF1E36"/>
    <w:rsid w:val="00BF2CB8"/>
    <w:rsid w:val="00BF4113"/>
    <w:rsid w:val="00BF5C84"/>
    <w:rsid w:val="00BF6735"/>
    <w:rsid w:val="00BF6A2A"/>
    <w:rsid w:val="00BF78C2"/>
    <w:rsid w:val="00BF78EA"/>
    <w:rsid w:val="00C00E41"/>
    <w:rsid w:val="00C00F0E"/>
    <w:rsid w:val="00C01B98"/>
    <w:rsid w:val="00C04F96"/>
    <w:rsid w:val="00C05854"/>
    <w:rsid w:val="00C075DA"/>
    <w:rsid w:val="00C07E73"/>
    <w:rsid w:val="00C1003C"/>
    <w:rsid w:val="00C106F7"/>
    <w:rsid w:val="00C10827"/>
    <w:rsid w:val="00C12D52"/>
    <w:rsid w:val="00C146CD"/>
    <w:rsid w:val="00C14B77"/>
    <w:rsid w:val="00C15AFD"/>
    <w:rsid w:val="00C16131"/>
    <w:rsid w:val="00C165AD"/>
    <w:rsid w:val="00C16DBA"/>
    <w:rsid w:val="00C17C55"/>
    <w:rsid w:val="00C21BAE"/>
    <w:rsid w:val="00C21BFB"/>
    <w:rsid w:val="00C22FFB"/>
    <w:rsid w:val="00C23734"/>
    <w:rsid w:val="00C25D9A"/>
    <w:rsid w:val="00C3098F"/>
    <w:rsid w:val="00C30AD7"/>
    <w:rsid w:val="00C32BC9"/>
    <w:rsid w:val="00C32ED7"/>
    <w:rsid w:val="00C33573"/>
    <w:rsid w:val="00C34492"/>
    <w:rsid w:val="00C347E0"/>
    <w:rsid w:val="00C372F3"/>
    <w:rsid w:val="00C402CD"/>
    <w:rsid w:val="00C40BC6"/>
    <w:rsid w:val="00C412B3"/>
    <w:rsid w:val="00C41BB2"/>
    <w:rsid w:val="00C41EFC"/>
    <w:rsid w:val="00C4260F"/>
    <w:rsid w:val="00C43629"/>
    <w:rsid w:val="00C437B1"/>
    <w:rsid w:val="00C43E5B"/>
    <w:rsid w:val="00C44A0F"/>
    <w:rsid w:val="00C44FDE"/>
    <w:rsid w:val="00C45767"/>
    <w:rsid w:val="00C4621E"/>
    <w:rsid w:val="00C467E8"/>
    <w:rsid w:val="00C4786E"/>
    <w:rsid w:val="00C524D6"/>
    <w:rsid w:val="00C52720"/>
    <w:rsid w:val="00C52A6C"/>
    <w:rsid w:val="00C53ADE"/>
    <w:rsid w:val="00C548CD"/>
    <w:rsid w:val="00C54C27"/>
    <w:rsid w:val="00C55A97"/>
    <w:rsid w:val="00C6145E"/>
    <w:rsid w:val="00C61521"/>
    <w:rsid w:val="00C61979"/>
    <w:rsid w:val="00C62970"/>
    <w:rsid w:val="00C62AC5"/>
    <w:rsid w:val="00C63724"/>
    <w:rsid w:val="00C643E0"/>
    <w:rsid w:val="00C65162"/>
    <w:rsid w:val="00C66085"/>
    <w:rsid w:val="00C665F0"/>
    <w:rsid w:val="00C677CE"/>
    <w:rsid w:val="00C67D1D"/>
    <w:rsid w:val="00C70E44"/>
    <w:rsid w:val="00C7109A"/>
    <w:rsid w:val="00C736F1"/>
    <w:rsid w:val="00C73F95"/>
    <w:rsid w:val="00C74D9F"/>
    <w:rsid w:val="00C77FED"/>
    <w:rsid w:val="00C8061E"/>
    <w:rsid w:val="00C80692"/>
    <w:rsid w:val="00C80DA8"/>
    <w:rsid w:val="00C81121"/>
    <w:rsid w:val="00C81923"/>
    <w:rsid w:val="00C8359D"/>
    <w:rsid w:val="00C85965"/>
    <w:rsid w:val="00C876F8"/>
    <w:rsid w:val="00C91866"/>
    <w:rsid w:val="00C9387F"/>
    <w:rsid w:val="00C94D43"/>
    <w:rsid w:val="00C96495"/>
    <w:rsid w:val="00C978A9"/>
    <w:rsid w:val="00CA0FDB"/>
    <w:rsid w:val="00CA1F59"/>
    <w:rsid w:val="00CA4DCA"/>
    <w:rsid w:val="00CA6B06"/>
    <w:rsid w:val="00CA7BFE"/>
    <w:rsid w:val="00CA7ED8"/>
    <w:rsid w:val="00CB031D"/>
    <w:rsid w:val="00CB0922"/>
    <w:rsid w:val="00CB2390"/>
    <w:rsid w:val="00CB2450"/>
    <w:rsid w:val="00CB3814"/>
    <w:rsid w:val="00CB48D0"/>
    <w:rsid w:val="00CB7A44"/>
    <w:rsid w:val="00CB7DC5"/>
    <w:rsid w:val="00CB7E89"/>
    <w:rsid w:val="00CC055F"/>
    <w:rsid w:val="00CC07C3"/>
    <w:rsid w:val="00CC09BF"/>
    <w:rsid w:val="00CC09D4"/>
    <w:rsid w:val="00CC2730"/>
    <w:rsid w:val="00CC303D"/>
    <w:rsid w:val="00CC39BE"/>
    <w:rsid w:val="00CC3D4B"/>
    <w:rsid w:val="00CC6F92"/>
    <w:rsid w:val="00CC7131"/>
    <w:rsid w:val="00CD05B4"/>
    <w:rsid w:val="00CD26D8"/>
    <w:rsid w:val="00CD4849"/>
    <w:rsid w:val="00CD4A1C"/>
    <w:rsid w:val="00CD4C70"/>
    <w:rsid w:val="00CD5703"/>
    <w:rsid w:val="00CD5DD9"/>
    <w:rsid w:val="00CD60FD"/>
    <w:rsid w:val="00CD78B8"/>
    <w:rsid w:val="00CE0AB2"/>
    <w:rsid w:val="00CE2943"/>
    <w:rsid w:val="00CE2AF6"/>
    <w:rsid w:val="00CE2C4F"/>
    <w:rsid w:val="00CE2E5B"/>
    <w:rsid w:val="00CE4831"/>
    <w:rsid w:val="00CE54B1"/>
    <w:rsid w:val="00CE5B7B"/>
    <w:rsid w:val="00CE7C17"/>
    <w:rsid w:val="00CF0443"/>
    <w:rsid w:val="00CF0FCC"/>
    <w:rsid w:val="00CF1DC9"/>
    <w:rsid w:val="00CF3657"/>
    <w:rsid w:val="00CF3DC0"/>
    <w:rsid w:val="00CF40F4"/>
    <w:rsid w:val="00CF45F2"/>
    <w:rsid w:val="00CF47A1"/>
    <w:rsid w:val="00CF506C"/>
    <w:rsid w:val="00CF536E"/>
    <w:rsid w:val="00CF6F92"/>
    <w:rsid w:val="00CF70B3"/>
    <w:rsid w:val="00CF70B9"/>
    <w:rsid w:val="00CF76BC"/>
    <w:rsid w:val="00CF7E1A"/>
    <w:rsid w:val="00D00D82"/>
    <w:rsid w:val="00D03D11"/>
    <w:rsid w:val="00D04842"/>
    <w:rsid w:val="00D05691"/>
    <w:rsid w:val="00D06C2F"/>
    <w:rsid w:val="00D10700"/>
    <w:rsid w:val="00D10F94"/>
    <w:rsid w:val="00D11140"/>
    <w:rsid w:val="00D1406E"/>
    <w:rsid w:val="00D14BCD"/>
    <w:rsid w:val="00D1571D"/>
    <w:rsid w:val="00D15B54"/>
    <w:rsid w:val="00D16966"/>
    <w:rsid w:val="00D2052C"/>
    <w:rsid w:val="00D218B4"/>
    <w:rsid w:val="00D219D2"/>
    <w:rsid w:val="00D22236"/>
    <w:rsid w:val="00D2352C"/>
    <w:rsid w:val="00D24D2F"/>
    <w:rsid w:val="00D24EF3"/>
    <w:rsid w:val="00D24F50"/>
    <w:rsid w:val="00D25449"/>
    <w:rsid w:val="00D25AAA"/>
    <w:rsid w:val="00D26D06"/>
    <w:rsid w:val="00D27250"/>
    <w:rsid w:val="00D30694"/>
    <w:rsid w:val="00D31D71"/>
    <w:rsid w:val="00D33983"/>
    <w:rsid w:val="00D35391"/>
    <w:rsid w:val="00D365E0"/>
    <w:rsid w:val="00D36F96"/>
    <w:rsid w:val="00D37474"/>
    <w:rsid w:val="00D40ADA"/>
    <w:rsid w:val="00D4145E"/>
    <w:rsid w:val="00D417BD"/>
    <w:rsid w:val="00D42976"/>
    <w:rsid w:val="00D4392B"/>
    <w:rsid w:val="00D45544"/>
    <w:rsid w:val="00D45703"/>
    <w:rsid w:val="00D45E01"/>
    <w:rsid w:val="00D46A4A"/>
    <w:rsid w:val="00D46C6A"/>
    <w:rsid w:val="00D47F68"/>
    <w:rsid w:val="00D5036D"/>
    <w:rsid w:val="00D51BEC"/>
    <w:rsid w:val="00D5213C"/>
    <w:rsid w:val="00D5241F"/>
    <w:rsid w:val="00D52650"/>
    <w:rsid w:val="00D53D01"/>
    <w:rsid w:val="00D54501"/>
    <w:rsid w:val="00D60B56"/>
    <w:rsid w:val="00D61346"/>
    <w:rsid w:val="00D61E1D"/>
    <w:rsid w:val="00D652BA"/>
    <w:rsid w:val="00D654AC"/>
    <w:rsid w:val="00D658CC"/>
    <w:rsid w:val="00D66626"/>
    <w:rsid w:val="00D66C54"/>
    <w:rsid w:val="00D70D11"/>
    <w:rsid w:val="00D7561F"/>
    <w:rsid w:val="00D7615B"/>
    <w:rsid w:val="00D77635"/>
    <w:rsid w:val="00D77669"/>
    <w:rsid w:val="00D80410"/>
    <w:rsid w:val="00D805A7"/>
    <w:rsid w:val="00D8108A"/>
    <w:rsid w:val="00D838BF"/>
    <w:rsid w:val="00D879DA"/>
    <w:rsid w:val="00D90C67"/>
    <w:rsid w:val="00D927D7"/>
    <w:rsid w:val="00D9293A"/>
    <w:rsid w:val="00D93CE3"/>
    <w:rsid w:val="00D952E9"/>
    <w:rsid w:val="00D95464"/>
    <w:rsid w:val="00D95E9D"/>
    <w:rsid w:val="00D96403"/>
    <w:rsid w:val="00D9644D"/>
    <w:rsid w:val="00D97DE7"/>
    <w:rsid w:val="00DA12B7"/>
    <w:rsid w:val="00DA2BD6"/>
    <w:rsid w:val="00DA3F1D"/>
    <w:rsid w:val="00DA42A6"/>
    <w:rsid w:val="00DA64BD"/>
    <w:rsid w:val="00DA7E7B"/>
    <w:rsid w:val="00DB0009"/>
    <w:rsid w:val="00DB075F"/>
    <w:rsid w:val="00DB239C"/>
    <w:rsid w:val="00DB2CAD"/>
    <w:rsid w:val="00DB3335"/>
    <w:rsid w:val="00DB477C"/>
    <w:rsid w:val="00DB51F5"/>
    <w:rsid w:val="00DB5EBA"/>
    <w:rsid w:val="00DC0AFC"/>
    <w:rsid w:val="00DC108D"/>
    <w:rsid w:val="00DC158B"/>
    <w:rsid w:val="00DC2E58"/>
    <w:rsid w:val="00DC3150"/>
    <w:rsid w:val="00DC41FF"/>
    <w:rsid w:val="00DC6C8C"/>
    <w:rsid w:val="00DD0766"/>
    <w:rsid w:val="00DD15C3"/>
    <w:rsid w:val="00DD346B"/>
    <w:rsid w:val="00DD3BB0"/>
    <w:rsid w:val="00DD56D1"/>
    <w:rsid w:val="00DD58B7"/>
    <w:rsid w:val="00DD5A94"/>
    <w:rsid w:val="00DD6D52"/>
    <w:rsid w:val="00DE0C3F"/>
    <w:rsid w:val="00DE15F5"/>
    <w:rsid w:val="00DE4E06"/>
    <w:rsid w:val="00DE57D2"/>
    <w:rsid w:val="00DE5E40"/>
    <w:rsid w:val="00DE7858"/>
    <w:rsid w:val="00DF0477"/>
    <w:rsid w:val="00DF1535"/>
    <w:rsid w:val="00DF2BB8"/>
    <w:rsid w:val="00DF4760"/>
    <w:rsid w:val="00DF7758"/>
    <w:rsid w:val="00DF79FC"/>
    <w:rsid w:val="00E00B58"/>
    <w:rsid w:val="00E00E34"/>
    <w:rsid w:val="00E011FA"/>
    <w:rsid w:val="00E023A3"/>
    <w:rsid w:val="00E03423"/>
    <w:rsid w:val="00E03BE2"/>
    <w:rsid w:val="00E04072"/>
    <w:rsid w:val="00E06080"/>
    <w:rsid w:val="00E06F63"/>
    <w:rsid w:val="00E10496"/>
    <w:rsid w:val="00E10702"/>
    <w:rsid w:val="00E12A2A"/>
    <w:rsid w:val="00E1302E"/>
    <w:rsid w:val="00E1558C"/>
    <w:rsid w:val="00E16F23"/>
    <w:rsid w:val="00E17C31"/>
    <w:rsid w:val="00E17CF0"/>
    <w:rsid w:val="00E21174"/>
    <w:rsid w:val="00E21606"/>
    <w:rsid w:val="00E218CE"/>
    <w:rsid w:val="00E21ECA"/>
    <w:rsid w:val="00E2300A"/>
    <w:rsid w:val="00E23DC7"/>
    <w:rsid w:val="00E258B7"/>
    <w:rsid w:val="00E2609A"/>
    <w:rsid w:val="00E26BA4"/>
    <w:rsid w:val="00E30670"/>
    <w:rsid w:val="00E30D8E"/>
    <w:rsid w:val="00E31364"/>
    <w:rsid w:val="00E33593"/>
    <w:rsid w:val="00E33D79"/>
    <w:rsid w:val="00E33F3C"/>
    <w:rsid w:val="00E3435A"/>
    <w:rsid w:val="00E35104"/>
    <w:rsid w:val="00E40DBB"/>
    <w:rsid w:val="00E41732"/>
    <w:rsid w:val="00E41919"/>
    <w:rsid w:val="00E4191D"/>
    <w:rsid w:val="00E41CD1"/>
    <w:rsid w:val="00E41DA6"/>
    <w:rsid w:val="00E43377"/>
    <w:rsid w:val="00E4349B"/>
    <w:rsid w:val="00E43AAC"/>
    <w:rsid w:val="00E44079"/>
    <w:rsid w:val="00E44798"/>
    <w:rsid w:val="00E45D41"/>
    <w:rsid w:val="00E461C9"/>
    <w:rsid w:val="00E471EE"/>
    <w:rsid w:val="00E47627"/>
    <w:rsid w:val="00E50396"/>
    <w:rsid w:val="00E50DE6"/>
    <w:rsid w:val="00E5208B"/>
    <w:rsid w:val="00E60F7E"/>
    <w:rsid w:val="00E624A9"/>
    <w:rsid w:val="00E62927"/>
    <w:rsid w:val="00E632E8"/>
    <w:rsid w:val="00E64C14"/>
    <w:rsid w:val="00E64FC6"/>
    <w:rsid w:val="00E650DC"/>
    <w:rsid w:val="00E657FB"/>
    <w:rsid w:val="00E662D5"/>
    <w:rsid w:val="00E6683E"/>
    <w:rsid w:val="00E67384"/>
    <w:rsid w:val="00E7068F"/>
    <w:rsid w:val="00E713AF"/>
    <w:rsid w:val="00E714A5"/>
    <w:rsid w:val="00E719F1"/>
    <w:rsid w:val="00E72077"/>
    <w:rsid w:val="00E7368C"/>
    <w:rsid w:val="00E738B5"/>
    <w:rsid w:val="00E768FA"/>
    <w:rsid w:val="00E77BBE"/>
    <w:rsid w:val="00E8127C"/>
    <w:rsid w:val="00E81464"/>
    <w:rsid w:val="00E825C7"/>
    <w:rsid w:val="00E825CF"/>
    <w:rsid w:val="00E82A5E"/>
    <w:rsid w:val="00E839C6"/>
    <w:rsid w:val="00E83D92"/>
    <w:rsid w:val="00E8612D"/>
    <w:rsid w:val="00E8635D"/>
    <w:rsid w:val="00E906EA"/>
    <w:rsid w:val="00E90FCE"/>
    <w:rsid w:val="00E9293D"/>
    <w:rsid w:val="00E93572"/>
    <w:rsid w:val="00E94BDD"/>
    <w:rsid w:val="00E95B9C"/>
    <w:rsid w:val="00E96288"/>
    <w:rsid w:val="00E96C5A"/>
    <w:rsid w:val="00E9729F"/>
    <w:rsid w:val="00EA016E"/>
    <w:rsid w:val="00EA0802"/>
    <w:rsid w:val="00EA0C22"/>
    <w:rsid w:val="00EA25EF"/>
    <w:rsid w:val="00EA2ADA"/>
    <w:rsid w:val="00EA34A5"/>
    <w:rsid w:val="00EA3543"/>
    <w:rsid w:val="00EA3BE4"/>
    <w:rsid w:val="00EA6C3B"/>
    <w:rsid w:val="00EA78BF"/>
    <w:rsid w:val="00EB2D67"/>
    <w:rsid w:val="00EB4C6C"/>
    <w:rsid w:val="00EB6070"/>
    <w:rsid w:val="00EB698B"/>
    <w:rsid w:val="00EB70FC"/>
    <w:rsid w:val="00EC054B"/>
    <w:rsid w:val="00EC0EA3"/>
    <w:rsid w:val="00EC0FEC"/>
    <w:rsid w:val="00EC2C1C"/>
    <w:rsid w:val="00EC32A7"/>
    <w:rsid w:val="00EC393E"/>
    <w:rsid w:val="00EC3A9C"/>
    <w:rsid w:val="00EC5688"/>
    <w:rsid w:val="00EC66F4"/>
    <w:rsid w:val="00EC6AF1"/>
    <w:rsid w:val="00EC6DF6"/>
    <w:rsid w:val="00EC76C0"/>
    <w:rsid w:val="00EC7742"/>
    <w:rsid w:val="00EC7EB0"/>
    <w:rsid w:val="00EC7FFE"/>
    <w:rsid w:val="00ED0288"/>
    <w:rsid w:val="00ED0AB3"/>
    <w:rsid w:val="00ED1268"/>
    <w:rsid w:val="00ED16DD"/>
    <w:rsid w:val="00ED32F2"/>
    <w:rsid w:val="00ED35A6"/>
    <w:rsid w:val="00ED3623"/>
    <w:rsid w:val="00ED37BC"/>
    <w:rsid w:val="00ED4BDD"/>
    <w:rsid w:val="00ED7D4B"/>
    <w:rsid w:val="00EE0251"/>
    <w:rsid w:val="00EE3B07"/>
    <w:rsid w:val="00EE3E2C"/>
    <w:rsid w:val="00EE505A"/>
    <w:rsid w:val="00EE54B0"/>
    <w:rsid w:val="00EE668B"/>
    <w:rsid w:val="00EE673E"/>
    <w:rsid w:val="00EE68A9"/>
    <w:rsid w:val="00EE6CAD"/>
    <w:rsid w:val="00EE7B06"/>
    <w:rsid w:val="00EF0F58"/>
    <w:rsid w:val="00EF1170"/>
    <w:rsid w:val="00EF288A"/>
    <w:rsid w:val="00EF2BD7"/>
    <w:rsid w:val="00EF56B5"/>
    <w:rsid w:val="00EF7562"/>
    <w:rsid w:val="00F00414"/>
    <w:rsid w:val="00F007A0"/>
    <w:rsid w:val="00F013A4"/>
    <w:rsid w:val="00F0364A"/>
    <w:rsid w:val="00F046D3"/>
    <w:rsid w:val="00F07035"/>
    <w:rsid w:val="00F070B0"/>
    <w:rsid w:val="00F07E1E"/>
    <w:rsid w:val="00F126D6"/>
    <w:rsid w:val="00F1296B"/>
    <w:rsid w:val="00F12D2F"/>
    <w:rsid w:val="00F13DD4"/>
    <w:rsid w:val="00F13F25"/>
    <w:rsid w:val="00F14CF9"/>
    <w:rsid w:val="00F14E6B"/>
    <w:rsid w:val="00F14F7F"/>
    <w:rsid w:val="00F152E0"/>
    <w:rsid w:val="00F154A0"/>
    <w:rsid w:val="00F15869"/>
    <w:rsid w:val="00F1699C"/>
    <w:rsid w:val="00F176EF"/>
    <w:rsid w:val="00F17B03"/>
    <w:rsid w:val="00F23EF0"/>
    <w:rsid w:val="00F2663A"/>
    <w:rsid w:val="00F267B4"/>
    <w:rsid w:val="00F302F1"/>
    <w:rsid w:val="00F309D4"/>
    <w:rsid w:val="00F3172D"/>
    <w:rsid w:val="00F31C25"/>
    <w:rsid w:val="00F31D56"/>
    <w:rsid w:val="00F32362"/>
    <w:rsid w:val="00F32A3E"/>
    <w:rsid w:val="00F33235"/>
    <w:rsid w:val="00F33B91"/>
    <w:rsid w:val="00F33CC8"/>
    <w:rsid w:val="00F342B6"/>
    <w:rsid w:val="00F3435E"/>
    <w:rsid w:val="00F345E7"/>
    <w:rsid w:val="00F379E1"/>
    <w:rsid w:val="00F4034B"/>
    <w:rsid w:val="00F41066"/>
    <w:rsid w:val="00F425C2"/>
    <w:rsid w:val="00F4263A"/>
    <w:rsid w:val="00F444E3"/>
    <w:rsid w:val="00F452C0"/>
    <w:rsid w:val="00F471FF"/>
    <w:rsid w:val="00F47CAE"/>
    <w:rsid w:val="00F50018"/>
    <w:rsid w:val="00F50806"/>
    <w:rsid w:val="00F50B94"/>
    <w:rsid w:val="00F512A5"/>
    <w:rsid w:val="00F51F42"/>
    <w:rsid w:val="00F5213E"/>
    <w:rsid w:val="00F528E3"/>
    <w:rsid w:val="00F555D7"/>
    <w:rsid w:val="00F558CC"/>
    <w:rsid w:val="00F56333"/>
    <w:rsid w:val="00F56AF2"/>
    <w:rsid w:val="00F56FB9"/>
    <w:rsid w:val="00F6430A"/>
    <w:rsid w:val="00F6486F"/>
    <w:rsid w:val="00F65184"/>
    <w:rsid w:val="00F66830"/>
    <w:rsid w:val="00F70AEC"/>
    <w:rsid w:val="00F70B64"/>
    <w:rsid w:val="00F71431"/>
    <w:rsid w:val="00F72090"/>
    <w:rsid w:val="00F727C3"/>
    <w:rsid w:val="00F72DEA"/>
    <w:rsid w:val="00F73279"/>
    <w:rsid w:val="00F736A7"/>
    <w:rsid w:val="00F738AC"/>
    <w:rsid w:val="00F73ADD"/>
    <w:rsid w:val="00F74986"/>
    <w:rsid w:val="00F75E79"/>
    <w:rsid w:val="00F7618C"/>
    <w:rsid w:val="00F76590"/>
    <w:rsid w:val="00F76C06"/>
    <w:rsid w:val="00F7733E"/>
    <w:rsid w:val="00F77689"/>
    <w:rsid w:val="00F80B6E"/>
    <w:rsid w:val="00F813BD"/>
    <w:rsid w:val="00F815CA"/>
    <w:rsid w:val="00F81759"/>
    <w:rsid w:val="00F82E55"/>
    <w:rsid w:val="00F82EF5"/>
    <w:rsid w:val="00F8321E"/>
    <w:rsid w:val="00F84CC0"/>
    <w:rsid w:val="00F85779"/>
    <w:rsid w:val="00F85A99"/>
    <w:rsid w:val="00F85FE4"/>
    <w:rsid w:val="00F861F0"/>
    <w:rsid w:val="00F876C4"/>
    <w:rsid w:val="00F87700"/>
    <w:rsid w:val="00F87D95"/>
    <w:rsid w:val="00F903B3"/>
    <w:rsid w:val="00F90FF4"/>
    <w:rsid w:val="00F918C1"/>
    <w:rsid w:val="00F921C9"/>
    <w:rsid w:val="00F92AF7"/>
    <w:rsid w:val="00F92EE6"/>
    <w:rsid w:val="00F94038"/>
    <w:rsid w:val="00F95912"/>
    <w:rsid w:val="00F9650A"/>
    <w:rsid w:val="00F96FAD"/>
    <w:rsid w:val="00FA10ED"/>
    <w:rsid w:val="00FA2D62"/>
    <w:rsid w:val="00FA3D4A"/>
    <w:rsid w:val="00FA5CE1"/>
    <w:rsid w:val="00FA634A"/>
    <w:rsid w:val="00FA6970"/>
    <w:rsid w:val="00FA6AEB"/>
    <w:rsid w:val="00FA77DC"/>
    <w:rsid w:val="00FB0E54"/>
    <w:rsid w:val="00FB19AC"/>
    <w:rsid w:val="00FB3C13"/>
    <w:rsid w:val="00FB4EEC"/>
    <w:rsid w:val="00FB6B9D"/>
    <w:rsid w:val="00FB72B7"/>
    <w:rsid w:val="00FB75E9"/>
    <w:rsid w:val="00FB7833"/>
    <w:rsid w:val="00FB7C15"/>
    <w:rsid w:val="00FC255F"/>
    <w:rsid w:val="00FC3835"/>
    <w:rsid w:val="00FC3D4E"/>
    <w:rsid w:val="00FC4AC8"/>
    <w:rsid w:val="00FC4C45"/>
    <w:rsid w:val="00FC6E39"/>
    <w:rsid w:val="00FC7CB5"/>
    <w:rsid w:val="00FD0A45"/>
    <w:rsid w:val="00FD13A3"/>
    <w:rsid w:val="00FD15AE"/>
    <w:rsid w:val="00FD2341"/>
    <w:rsid w:val="00FD496F"/>
    <w:rsid w:val="00FD50CB"/>
    <w:rsid w:val="00FD7E39"/>
    <w:rsid w:val="00FE22EC"/>
    <w:rsid w:val="00FE2A46"/>
    <w:rsid w:val="00FE32BE"/>
    <w:rsid w:val="00FE32F4"/>
    <w:rsid w:val="00FE3AB0"/>
    <w:rsid w:val="00FE429E"/>
    <w:rsid w:val="00FE4AF9"/>
    <w:rsid w:val="00FE60D7"/>
    <w:rsid w:val="00FE6B12"/>
    <w:rsid w:val="00FF02CF"/>
    <w:rsid w:val="00FF139E"/>
    <w:rsid w:val="00FF186C"/>
    <w:rsid w:val="00FF2660"/>
    <w:rsid w:val="00FF2839"/>
    <w:rsid w:val="00FF2EC9"/>
    <w:rsid w:val="00FF2FA9"/>
    <w:rsid w:val="00FF31FA"/>
    <w:rsid w:val="00FF3539"/>
    <w:rsid w:val="00FF50D8"/>
    <w:rsid w:val="00FF5D26"/>
    <w:rsid w:val="00FF5D76"/>
    <w:rsid w:val="00FF6278"/>
    <w:rsid w:val="00FF6B5B"/>
    <w:rsid w:val="00FF6F71"/>
    <w:rsid w:val="00FF73DD"/>
    <w:rsid w:val="00FF76BD"/>
    <w:rsid w:val="07944D56"/>
    <w:rsid w:val="0BA63302"/>
    <w:rsid w:val="0CCB23AD"/>
    <w:rsid w:val="0E3165F5"/>
    <w:rsid w:val="124E6D7F"/>
    <w:rsid w:val="14496F20"/>
    <w:rsid w:val="16922E00"/>
    <w:rsid w:val="176D73C9"/>
    <w:rsid w:val="189B350E"/>
    <w:rsid w:val="1DB628CF"/>
    <w:rsid w:val="1EA86C97"/>
    <w:rsid w:val="21002F03"/>
    <w:rsid w:val="240D1D18"/>
    <w:rsid w:val="240F5C1B"/>
    <w:rsid w:val="26DE799C"/>
    <w:rsid w:val="272911C1"/>
    <w:rsid w:val="28B2405D"/>
    <w:rsid w:val="2A2B114A"/>
    <w:rsid w:val="2A971F1E"/>
    <w:rsid w:val="2B516556"/>
    <w:rsid w:val="2C5E1FA4"/>
    <w:rsid w:val="2D014384"/>
    <w:rsid w:val="2DC564F0"/>
    <w:rsid w:val="2F6F1AD9"/>
    <w:rsid w:val="301C7CB7"/>
    <w:rsid w:val="30F04DB5"/>
    <w:rsid w:val="33BA574C"/>
    <w:rsid w:val="3449414B"/>
    <w:rsid w:val="36A26EA0"/>
    <w:rsid w:val="36B12C26"/>
    <w:rsid w:val="36C80C21"/>
    <w:rsid w:val="37C36AE3"/>
    <w:rsid w:val="39F97E2C"/>
    <w:rsid w:val="3AFA5379"/>
    <w:rsid w:val="3C8F434B"/>
    <w:rsid w:val="3EBF5D86"/>
    <w:rsid w:val="41DB1250"/>
    <w:rsid w:val="42EB7271"/>
    <w:rsid w:val="43FD54AD"/>
    <w:rsid w:val="46276812"/>
    <w:rsid w:val="47C562E2"/>
    <w:rsid w:val="49A2760E"/>
    <w:rsid w:val="4E170A9B"/>
    <w:rsid w:val="54DE1382"/>
    <w:rsid w:val="55EA1557"/>
    <w:rsid w:val="57CE03AB"/>
    <w:rsid w:val="5BE72004"/>
    <w:rsid w:val="5F583033"/>
    <w:rsid w:val="635950AC"/>
    <w:rsid w:val="664A237C"/>
    <w:rsid w:val="674C5C80"/>
    <w:rsid w:val="68E6427B"/>
    <w:rsid w:val="6C7C700D"/>
    <w:rsid w:val="6D045F34"/>
    <w:rsid w:val="6E00261D"/>
    <w:rsid w:val="6E214730"/>
    <w:rsid w:val="711772FF"/>
    <w:rsid w:val="714011FC"/>
    <w:rsid w:val="728C7879"/>
    <w:rsid w:val="7499627D"/>
    <w:rsid w:val="751474F2"/>
    <w:rsid w:val="75792336"/>
    <w:rsid w:val="760772B2"/>
    <w:rsid w:val="798957D4"/>
    <w:rsid w:val="7F4F44C1"/>
    <w:rsid w:val="7FD879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autoRedefine/>
    <w:qFormat/>
    <w:uiPriority w:val="0"/>
    <w:pPr>
      <w:keepNext/>
      <w:keepLines/>
      <w:spacing w:before="120" w:after="120" w:line="360" w:lineRule="auto"/>
      <w:jc w:val="center"/>
      <w:outlineLvl w:val="0"/>
    </w:pPr>
    <w:rPr>
      <w:b/>
      <w:bCs/>
      <w:kern w:val="44"/>
      <w:sz w:val="30"/>
      <w:szCs w:val="44"/>
    </w:rPr>
  </w:style>
  <w:style w:type="paragraph" w:styleId="3">
    <w:name w:val="heading 2"/>
    <w:basedOn w:val="1"/>
    <w:next w:val="1"/>
    <w:link w:val="36"/>
    <w:autoRedefine/>
    <w:qFormat/>
    <w:uiPriority w:val="0"/>
    <w:pPr>
      <w:keepNext/>
      <w:keepLines/>
      <w:widowControl/>
      <w:spacing w:before="260" w:after="260" w:line="416" w:lineRule="auto"/>
      <w:ind w:firstLine="200" w:firstLineChars="200"/>
      <w:jc w:val="left"/>
      <w:outlineLvl w:val="1"/>
    </w:pPr>
    <w:rPr>
      <w:rFonts w:ascii="Arial" w:hAnsi="Arial" w:eastAsia="黑体"/>
      <w:b/>
      <w:bCs/>
      <w:sz w:val="32"/>
      <w:szCs w:val="32"/>
    </w:rPr>
  </w:style>
  <w:style w:type="paragraph" w:styleId="4">
    <w:name w:val="heading 3"/>
    <w:basedOn w:val="1"/>
    <w:next w:val="1"/>
    <w:link w:val="3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55"/>
    <w:autoRedefine/>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6"/>
    <w:basedOn w:val="1"/>
    <w:next w:val="1"/>
    <w:autoRedefine/>
    <w:qFormat/>
    <w:uiPriority w:val="9"/>
    <w:pPr>
      <w:keepNext/>
      <w:keepLines/>
      <w:widowControl/>
      <w:tabs>
        <w:tab w:val="left" w:pos="1440"/>
      </w:tabs>
      <w:spacing w:before="240" w:after="64" w:line="319" w:lineRule="auto"/>
      <w:ind w:left="1152" w:hanging="1152"/>
      <w:jc w:val="left"/>
      <w:outlineLvl w:val="5"/>
    </w:pPr>
    <w:rPr>
      <w:rFonts w:ascii="Arial" w:hAnsi="Arial" w:eastAsia="黑体"/>
      <w:b/>
      <w:kern w:val="0"/>
      <w:sz w:val="24"/>
      <w:szCs w:val="20"/>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33"/>
    <w:autoRedefine/>
    <w:qFormat/>
    <w:uiPriority w:val="0"/>
    <w:pPr>
      <w:ind w:firstLine="420" w:firstLineChars="200"/>
    </w:pPr>
  </w:style>
  <w:style w:type="paragraph" w:styleId="8">
    <w:name w:val="Document Map"/>
    <w:basedOn w:val="1"/>
    <w:link w:val="47"/>
    <w:autoRedefine/>
    <w:qFormat/>
    <w:uiPriority w:val="0"/>
    <w:rPr>
      <w:rFonts w:ascii="宋体"/>
      <w:sz w:val="18"/>
      <w:szCs w:val="18"/>
    </w:rPr>
  </w:style>
  <w:style w:type="paragraph" w:styleId="9">
    <w:name w:val="annotation text"/>
    <w:basedOn w:val="1"/>
    <w:link w:val="51"/>
    <w:autoRedefine/>
    <w:qFormat/>
    <w:uiPriority w:val="0"/>
    <w:pPr>
      <w:jc w:val="left"/>
    </w:pPr>
    <w:rPr>
      <w:szCs w:val="20"/>
    </w:rPr>
  </w:style>
  <w:style w:type="paragraph" w:styleId="10">
    <w:name w:val="Body Text"/>
    <w:basedOn w:val="1"/>
    <w:link w:val="49"/>
    <w:autoRedefine/>
    <w:qFormat/>
    <w:uiPriority w:val="0"/>
    <w:rPr>
      <w:b/>
      <w:bCs/>
      <w:sz w:val="52"/>
    </w:rPr>
  </w:style>
  <w:style w:type="paragraph" w:styleId="11">
    <w:name w:val="Block Text"/>
    <w:basedOn w:val="1"/>
    <w:autoRedefine/>
    <w:qFormat/>
    <w:uiPriority w:val="0"/>
    <w:pPr>
      <w:adjustRightInd w:val="0"/>
      <w:ind w:left="420" w:right="33"/>
      <w:jc w:val="left"/>
      <w:textAlignment w:val="baseline"/>
    </w:pPr>
    <w:rPr>
      <w:kern w:val="0"/>
      <w:sz w:val="24"/>
      <w:szCs w:val="20"/>
    </w:rPr>
  </w:style>
  <w:style w:type="paragraph" w:styleId="12">
    <w:name w:val="toc 3"/>
    <w:basedOn w:val="1"/>
    <w:next w:val="1"/>
    <w:autoRedefine/>
    <w:qFormat/>
    <w:uiPriority w:val="39"/>
    <w:pPr>
      <w:ind w:left="840" w:leftChars="400"/>
    </w:pPr>
  </w:style>
  <w:style w:type="paragraph" w:styleId="13">
    <w:name w:val="Plain Text"/>
    <w:basedOn w:val="1"/>
    <w:link w:val="34"/>
    <w:autoRedefine/>
    <w:qFormat/>
    <w:uiPriority w:val="99"/>
    <w:rPr>
      <w:rFonts w:ascii="宋体" w:hAnsi="Courier New"/>
      <w:szCs w:val="21"/>
    </w:rPr>
  </w:style>
  <w:style w:type="paragraph" w:styleId="14">
    <w:name w:val="Date"/>
    <w:basedOn w:val="1"/>
    <w:next w:val="1"/>
    <w:link w:val="50"/>
    <w:autoRedefine/>
    <w:qFormat/>
    <w:uiPriority w:val="0"/>
    <w:pPr>
      <w:ind w:left="100" w:leftChars="2500"/>
    </w:pPr>
  </w:style>
  <w:style w:type="paragraph" w:styleId="15">
    <w:name w:val="Balloon Text"/>
    <w:basedOn w:val="1"/>
    <w:autoRedefine/>
    <w:semiHidden/>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spacing w:line="320" w:lineRule="exact"/>
      <w:ind w:firstLine="480" w:firstLineChars="200"/>
    </w:pPr>
    <w:rPr>
      <w:rFonts w:ascii="黑体" w:hAnsi="宋体" w:eastAsia="黑体"/>
      <w:bCs/>
      <w:sz w:val="24"/>
      <w:szCs w:val="20"/>
    </w:rPr>
  </w:style>
  <w:style w:type="paragraph" w:styleId="19">
    <w:name w:val="toc 2"/>
    <w:basedOn w:val="1"/>
    <w:next w:val="1"/>
    <w:autoRedefine/>
    <w:qFormat/>
    <w:uiPriority w:val="39"/>
    <w:pPr>
      <w:ind w:left="420" w:leftChars="200"/>
    </w:pPr>
  </w:style>
  <w:style w:type="paragraph" w:styleId="20">
    <w:name w:val="Body Text 2"/>
    <w:basedOn w:val="1"/>
    <w:autoRedefine/>
    <w:qFormat/>
    <w:uiPriority w:val="0"/>
    <w:pPr>
      <w:spacing w:after="120" w:line="480" w:lineRule="auto"/>
    </w:pPr>
  </w:style>
  <w:style w:type="paragraph" w:styleId="21">
    <w:name w:val="Normal (Web)"/>
    <w:basedOn w:val="1"/>
    <w:link w:val="32"/>
    <w:autoRedefine/>
    <w:qFormat/>
    <w:uiPriority w:val="99"/>
    <w:pPr>
      <w:widowControl/>
      <w:spacing w:before="100" w:beforeAutospacing="1" w:after="100" w:afterAutospacing="1"/>
      <w:jc w:val="left"/>
    </w:pPr>
    <w:rPr>
      <w:rFonts w:ascii="宋体" w:hAnsi="宋体"/>
      <w:kern w:val="0"/>
      <w:sz w:val="24"/>
    </w:rPr>
  </w:style>
  <w:style w:type="paragraph" w:styleId="22">
    <w:name w:val="annotation subject"/>
    <w:basedOn w:val="9"/>
    <w:next w:val="9"/>
    <w:link w:val="65"/>
    <w:autoRedefine/>
    <w:qFormat/>
    <w:uiPriority w:val="0"/>
    <w:rPr>
      <w:b/>
      <w:bCs/>
      <w:szCs w:val="24"/>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0"/>
    <w:rPr>
      <w:b/>
      <w:bCs/>
    </w:rPr>
  </w:style>
  <w:style w:type="character" w:styleId="27">
    <w:name w:val="page number"/>
    <w:basedOn w:val="25"/>
    <w:autoRedefine/>
    <w:qFormat/>
    <w:uiPriority w:val="0"/>
  </w:style>
  <w:style w:type="character" w:styleId="28">
    <w:name w:val="Hyperlink"/>
    <w:autoRedefine/>
    <w:qFormat/>
    <w:uiPriority w:val="99"/>
    <w:rPr>
      <w:color w:val="0000FF"/>
      <w:u w:val="single"/>
    </w:rPr>
  </w:style>
  <w:style w:type="character" w:styleId="29">
    <w:name w:val="annotation reference"/>
    <w:autoRedefine/>
    <w:qFormat/>
    <w:uiPriority w:val="0"/>
    <w:rPr>
      <w:sz w:val="21"/>
      <w:szCs w:val="21"/>
    </w:rPr>
  </w:style>
  <w:style w:type="paragraph" w:customStyle="1" w:styleId="30">
    <w:name w:val="列出段落1"/>
    <w:basedOn w:val="1"/>
    <w:autoRedefine/>
    <w:qFormat/>
    <w:uiPriority w:val="99"/>
    <w:pPr>
      <w:ind w:firstLine="420" w:firstLineChars="200"/>
    </w:pPr>
    <w:rPr>
      <w:rFonts w:ascii="Calibri" w:hAnsi="Calibri"/>
      <w:szCs w:val="22"/>
    </w:rPr>
  </w:style>
  <w:style w:type="character" w:customStyle="1" w:styleId="31">
    <w:name w:val="标题 3 Char"/>
    <w:link w:val="4"/>
    <w:autoRedefine/>
    <w:qFormat/>
    <w:uiPriority w:val="0"/>
    <w:rPr>
      <w:b/>
      <w:bCs/>
      <w:kern w:val="2"/>
      <w:sz w:val="32"/>
      <w:szCs w:val="32"/>
    </w:rPr>
  </w:style>
  <w:style w:type="character" w:customStyle="1" w:styleId="32">
    <w:name w:val="普通(网站) Char"/>
    <w:link w:val="21"/>
    <w:autoRedefine/>
    <w:qFormat/>
    <w:uiPriority w:val="0"/>
    <w:rPr>
      <w:rFonts w:ascii="宋体" w:hAnsi="宋体" w:cs="宋体"/>
      <w:sz w:val="24"/>
      <w:szCs w:val="24"/>
    </w:rPr>
  </w:style>
  <w:style w:type="character" w:customStyle="1" w:styleId="33">
    <w:name w:val="正文缩进 Char"/>
    <w:link w:val="7"/>
    <w:autoRedefine/>
    <w:qFormat/>
    <w:uiPriority w:val="0"/>
    <w:rPr>
      <w:kern w:val="2"/>
      <w:sz w:val="21"/>
      <w:szCs w:val="24"/>
    </w:rPr>
  </w:style>
  <w:style w:type="character" w:customStyle="1" w:styleId="34">
    <w:name w:val="纯文本 Char"/>
    <w:link w:val="13"/>
    <w:autoRedefine/>
    <w:qFormat/>
    <w:uiPriority w:val="99"/>
    <w:rPr>
      <w:rFonts w:ascii="宋体" w:hAnsi="Courier New"/>
      <w:kern w:val="2"/>
      <w:sz w:val="21"/>
      <w:szCs w:val="21"/>
    </w:rPr>
  </w:style>
  <w:style w:type="character" w:customStyle="1" w:styleId="35">
    <w:name w:val="纯文本 Char1"/>
    <w:autoRedefine/>
    <w:qFormat/>
    <w:uiPriority w:val="0"/>
    <w:rPr>
      <w:rFonts w:ascii="宋体" w:hAnsi="Courier New" w:cs="Courier New"/>
      <w:kern w:val="2"/>
      <w:sz w:val="21"/>
      <w:szCs w:val="21"/>
    </w:rPr>
  </w:style>
  <w:style w:type="character" w:customStyle="1" w:styleId="36">
    <w:name w:val="标题 2 Char"/>
    <w:link w:val="3"/>
    <w:autoRedefine/>
    <w:qFormat/>
    <w:uiPriority w:val="0"/>
    <w:rPr>
      <w:rFonts w:ascii="Arial" w:hAnsi="Arial" w:eastAsia="黑体"/>
      <w:b/>
      <w:bCs/>
      <w:kern w:val="2"/>
      <w:sz w:val="32"/>
      <w:szCs w:val="32"/>
    </w:rPr>
  </w:style>
  <w:style w:type="character" w:customStyle="1" w:styleId="37">
    <w:name w:val="标题 1 Char"/>
    <w:link w:val="2"/>
    <w:autoRedefine/>
    <w:qFormat/>
    <w:uiPriority w:val="0"/>
    <w:rPr>
      <w:b/>
      <w:bCs/>
      <w:kern w:val="44"/>
      <w:sz w:val="30"/>
      <w:szCs w:val="44"/>
    </w:rPr>
  </w:style>
  <w:style w:type="paragraph" w:customStyle="1" w:styleId="38">
    <w:name w:val="Char"/>
    <w:basedOn w:val="1"/>
    <w:autoRedefine/>
    <w:qFormat/>
    <w:uiPriority w:val="0"/>
    <w:pPr>
      <w:tabs>
        <w:tab w:val="left" w:pos="360"/>
      </w:tabs>
    </w:pPr>
    <w:rPr>
      <w:sz w:val="24"/>
    </w:rPr>
  </w:style>
  <w:style w:type="paragraph" w:customStyle="1" w:styleId="39">
    <w:name w:val="1_0"/>
    <w:basedOn w:val="1"/>
    <w:next w:val="1"/>
    <w:autoRedefine/>
    <w:qFormat/>
    <w:uiPriority w:val="0"/>
    <w:rPr>
      <w:rFonts w:ascii="宋体" w:hAnsi="Courier New"/>
      <w:szCs w:val="20"/>
    </w:rPr>
  </w:style>
  <w:style w:type="paragraph" w:styleId="40">
    <w:name w:val="List Paragraph"/>
    <w:basedOn w:val="1"/>
    <w:link w:val="48"/>
    <w:autoRedefine/>
    <w:qFormat/>
    <w:uiPriority w:val="34"/>
    <w:pPr>
      <w:ind w:firstLine="420" w:firstLineChars="200"/>
    </w:pPr>
  </w:style>
  <w:style w:type="paragraph" w:customStyle="1" w:styleId="41">
    <w:name w:val="Char Char Char"/>
    <w:basedOn w:val="1"/>
    <w:autoRedefine/>
    <w:qFormat/>
    <w:uiPriority w:val="0"/>
    <w:rPr>
      <w:szCs w:val="20"/>
    </w:rPr>
  </w:style>
  <w:style w:type="paragraph" w:customStyle="1" w:styleId="42">
    <w:name w:val="xl33"/>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kern w:val="0"/>
      <w:sz w:val="24"/>
    </w:rPr>
  </w:style>
  <w:style w:type="paragraph" w:customStyle="1" w:styleId="43">
    <w:name w:val="Char2 Char Char Char Char Char Char Char"/>
    <w:basedOn w:val="1"/>
    <w:autoRedefine/>
    <w:qFormat/>
    <w:uiPriority w:val="0"/>
    <w:rPr>
      <w:rFonts w:ascii="Tahoma" w:hAnsi="Tahoma"/>
      <w:sz w:val="24"/>
      <w:szCs w:val="20"/>
    </w:rPr>
  </w:style>
  <w:style w:type="paragraph" w:customStyle="1" w:styleId="44">
    <w:name w:val="Normal_2"/>
    <w:autoRedefine/>
    <w:qFormat/>
    <w:uiPriority w:val="0"/>
    <w:rPr>
      <w:rFonts w:ascii="Times New Roman" w:hAnsi="Times New Roman" w:eastAsia="宋体" w:cs="Times New Roman"/>
      <w:sz w:val="24"/>
      <w:szCs w:val="24"/>
      <w:lang w:val="en-US" w:eastAsia="zh-CN" w:bidi="ar-SA"/>
    </w:rPr>
  </w:style>
  <w:style w:type="character" w:customStyle="1" w:styleId="45">
    <w:name w:val="正文缩进 字符"/>
    <w:autoRedefine/>
    <w:qFormat/>
    <w:uiPriority w:val="0"/>
    <w:rPr>
      <w:kern w:val="2"/>
      <w:sz w:val="21"/>
      <w:szCs w:val="24"/>
    </w:rPr>
  </w:style>
  <w:style w:type="paragraph" w:customStyle="1" w:styleId="46">
    <w:name w:val="TOC 标题1"/>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7">
    <w:name w:val="文档结构图 Char"/>
    <w:link w:val="8"/>
    <w:autoRedefine/>
    <w:qFormat/>
    <w:uiPriority w:val="0"/>
    <w:rPr>
      <w:rFonts w:ascii="宋体"/>
      <w:kern w:val="2"/>
      <w:sz w:val="18"/>
      <w:szCs w:val="18"/>
    </w:rPr>
  </w:style>
  <w:style w:type="character" w:customStyle="1" w:styleId="48">
    <w:name w:val="列出段落 Char"/>
    <w:link w:val="40"/>
    <w:autoRedefine/>
    <w:qFormat/>
    <w:locked/>
    <w:uiPriority w:val="0"/>
    <w:rPr>
      <w:kern w:val="2"/>
      <w:sz w:val="21"/>
      <w:szCs w:val="24"/>
    </w:rPr>
  </w:style>
  <w:style w:type="character" w:customStyle="1" w:styleId="49">
    <w:name w:val="正文文本 Char"/>
    <w:link w:val="10"/>
    <w:autoRedefine/>
    <w:qFormat/>
    <w:uiPriority w:val="0"/>
    <w:rPr>
      <w:b/>
      <w:bCs/>
      <w:kern w:val="2"/>
      <w:sz w:val="52"/>
      <w:szCs w:val="24"/>
    </w:rPr>
  </w:style>
  <w:style w:type="character" w:customStyle="1" w:styleId="50">
    <w:name w:val="日期 Char"/>
    <w:link w:val="14"/>
    <w:autoRedefine/>
    <w:qFormat/>
    <w:uiPriority w:val="0"/>
    <w:rPr>
      <w:kern w:val="2"/>
      <w:sz w:val="21"/>
      <w:szCs w:val="24"/>
    </w:rPr>
  </w:style>
  <w:style w:type="character" w:customStyle="1" w:styleId="51">
    <w:name w:val="批注文字 Char"/>
    <w:link w:val="9"/>
    <w:autoRedefine/>
    <w:qFormat/>
    <w:uiPriority w:val="0"/>
    <w:rPr>
      <w:kern w:val="2"/>
      <w:sz w:val="21"/>
    </w:rPr>
  </w:style>
  <w:style w:type="character" w:customStyle="1" w:styleId="52">
    <w:name w:val="列表段落 字符"/>
    <w:autoRedefine/>
    <w:qFormat/>
    <w:uiPriority w:val="34"/>
    <w:rPr>
      <w:kern w:val="2"/>
      <w:sz w:val="21"/>
      <w:szCs w:val="24"/>
    </w:rPr>
  </w:style>
  <w:style w:type="character" w:customStyle="1" w:styleId="53">
    <w:name w:val="正文2 字符"/>
    <w:link w:val="54"/>
    <w:autoRedefine/>
    <w:qFormat/>
    <w:uiPriority w:val="0"/>
    <w:rPr>
      <w:kern w:val="2"/>
      <w:sz w:val="21"/>
      <w:szCs w:val="24"/>
    </w:rPr>
  </w:style>
  <w:style w:type="paragraph" w:customStyle="1" w:styleId="54">
    <w:name w:val="正文2"/>
    <w:basedOn w:val="1"/>
    <w:link w:val="53"/>
    <w:autoRedefine/>
    <w:qFormat/>
    <w:uiPriority w:val="0"/>
    <w:pPr>
      <w:spacing w:line="360" w:lineRule="auto"/>
      <w:ind w:firstLine="420" w:firstLineChars="200"/>
    </w:pPr>
  </w:style>
  <w:style w:type="character" w:customStyle="1" w:styleId="55">
    <w:name w:val="标题 4 Char"/>
    <w:link w:val="5"/>
    <w:autoRedefine/>
    <w:qFormat/>
    <w:uiPriority w:val="9"/>
    <w:rPr>
      <w:rFonts w:ascii="Cambria" w:hAnsi="Cambria"/>
      <w:b/>
      <w:bCs/>
      <w:kern w:val="2"/>
      <w:sz w:val="28"/>
      <w:szCs w:val="28"/>
    </w:rPr>
  </w:style>
  <w:style w:type="paragraph" w:styleId="56">
    <w:name w:val="No Spacing"/>
    <w:autoRedefine/>
    <w:qFormat/>
    <w:uiPriority w:val="1"/>
    <w:rPr>
      <w:rFonts w:ascii="Calibri" w:hAnsi="Calibri" w:eastAsia="宋体" w:cs="Times New Roman"/>
      <w:sz w:val="22"/>
      <w:szCs w:val="22"/>
      <w:lang w:val="en-US" w:eastAsia="en-US" w:bidi="en-US"/>
    </w:rPr>
  </w:style>
  <w:style w:type="paragraph" w:customStyle="1" w:styleId="57">
    <w:name w:val="首行缩进"/>
    <w:basedOn w:val="1"/>
    <w:autoRedefine/>
    <w:qFormat/>
    <w:uiPriority w:val="99"/>
    <w:pPr>
      <w:spacing w:line="360" w:lineRule="auto"/>
      <w:ind w:firstLine="480" w:firstLineChars="200"/>
    </w:pPr>
    <w:rPr>
      <w:rFonts w:ascii="Calibri" w:hAnsi="Calibri"/>
      <w:sz w:val="24"/>
      <w:szCs w:val="22"/>
      <w:lang w:val="zh-CN"/>
    </w:rPr>
  </w:style>
  <w:style w:type="paragraph" w:customStyle="1" w:styleId="58">
    <w:name w:val="_正文段落"/>
    <w:basedOn w:val="1"/>
    <w:autoRedefine/>
    <w:qFormat/>
    <w:uiPriority w:val="0"/>
    <w:pPr>
      <w:adjustRightInd w:val="0"/>
      <w:snapToGrid w:val="0"/>
      <w:spacing w:beforeLines="15" w:afterLines="15" w:line="360" w:lineRule="auto"/>
      <w:ind w:firstLine="480" w:firstLineChars="200"/>
    </w:pPr>
    <w:rPr>
      <w:kern w:val="0"/>
      <w:sz w:val="24"/>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character" w:customStyle="1" w:styleId="60">
    <w:name w:val="bookmark-item"/>
    <w:basedOn w:val="25"/>
    <w:autoRedefine/>
    <w:qFormat/>
    <w:uiPriority w:val="0"/>
  </w:style>
  <w:style w:type="character" w:customStyle="1" w:styleId="61">
    <w:name w:val="style2"/>
    <w:autoRedefine/>
    <w:qFormat/>
    <w:uiPriority w:val="99"/>
  </w:style>
  <w:style w:type="character" w:customStyle="1" w:styleId="62">
    <w:name w:val="页眉 Char"/>
    <w:link w:val="17"/>
    <w:autoRedefine/>
    <w:qFormat/>
    <w:locked/>
    <w:uiPriority w:val="0"/>
    <w:rPr>
      <w:kern w:val="2"/>
      <w:sz w:val="18"/>
      <w:szCs w:val="18"/>
    </w:rPr>
  </w:style>
  <w:style w:type="paragraph" w:customStyle="1" w:styleId="6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64">
    <w:name w:val="Table Paragraph"/>
    <w:basedOn w:val="1"/>
    <w:autoRedefine/>
    <w:qFormat/>
    <w:uiPriority w:val="99"/>
    <w:pPr>
      <w:spacing w:before="96"/>
      <w:jc w:val="center"/>
    </w:pPr>
  </w:style>
  <w:style w:type="character" w:customStyle="1" w:styleId="65">
    <w:name w:val="批注主题 Char"/>
    <w:basedOn w:val="51"/>
    <w:link w:val="22"/>
    <w:autoRedefine/>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624CA5B-DE4F-42FB-A1D8-A5AE0DD6119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4475</Words>
  <Characters>25514</Characters>
  <Lines>212</Lines>
  <Paragraphs>59</Paragraphs>
  <TotalTime>4</TotalTime>
  <ScaleCrop>false</ScaleCrop>
  <LinksUpToDate>false</LinksUpToDate>
  <CharactersWithSpaces>29930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2022-06-17T01:55:00Z</dcterms:created>
  <dc:creator>User</dc:creator>
  <cp:lastModifiedBy>情惜￡亦不离</cp:lastModifiedBy>
  <cp:lastPrinted>2019-08-22T05:42:00Z</cp:lastPrinted>
  <dcterms:modified xsi:type="dcterms:W3CDTF">2024-03-18T06:04:46Z</dcterms:modified>
  <dc:title>大连市中心医院医疗设备采购</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8BD3E19261AE4D64A560BCBF3B59C28E_13</vt:lpwstr>
  </property>
</Properties>
</file>