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中华人民共和国文物保护法实施条例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2003年5月18日中华人民共和国国务院令第377号公布</w:t>
      </w:r>
      <w:r>
        <w:rPr>
          <w:rFonts w:ascii="Times New Roman" w:hAnsi="Times New Roman" w:eastAsia="楷体_GB2312" w:cs="Times New Roman"/>
          <w:sz w:val="32"/>
          <w:szCs w:val="32"/>
        </w:rPr>
        <w:t>　根据2013年12月7日《国务院关于修改部分行政法规的决定》第一次修订　根据2016年2月6日《国务院关于修改部分行政法规的决定》第二次修订　根据2017年3月1日《国务院关于修改和废止部分行政法规的决定》第三次修订　根据2017年10月7日《国务院关于修改部分行政法规的决定》第四次修订)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根据《中华人民共和国文物保护法》(以下简称文物保护法)，制定本实施条例。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国家重点文物保护专项补助经费和地方文物保护专项经费，由县级以上人民政府文物行政主管部门、投资主管部门、财政部门按照国家有关规定共同实施管理。任何单位或者个人不得侵占、挪用。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国有的博物馆、纪念馆、文物保护单位等的事业性收入，应当用于下列用途：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(一)文物的保管、陈列、修复、征集；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(二)国有的博物馆、纪念馆、文物保护单位的修缮和建设；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(三)文物的安全防范；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(四)考古调查、勘探、发掘；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(五)文物保护的科学研究、宣传教育。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文物行政主管部门和教育、科技、新闻出版、广播电视行政主管部门，应当做好文物保护的宣传教育工作。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国务院文物行政主管部门和省、自治区、直辖市人民政府文物行政主管部门，应当制定文物保护的科学技术研究规划，采取有效措施，促进文物保护科技成果的推广和应用，提高文物保护的科学技术水平。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有文物保护法第十二条所列事迹之一的单位或者个人，由人民政府及其文物行政主管部门、有关部门给予精神鼓励或者物质奖励。</w:t>
      </w:r>
    </w:p>
    <w:p>
      <w:pPr>
        <w:pStyle w:val="3"/>
        <w:bidi w:val="0"/>
      </w:pPr>
      <w:r>
        <w:t>第二章　不可移动文物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历史文化名城，由国务院建设行政主管部门会同国务院文物行政主管部门报国务院核定公布。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历史文化街区、村镇，由省、自治区、直辖市人民政府城乡规划行政主管部门会同文物行政主管部门报本级人民政府核定公布。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县级以上地方人民政府组织编制的历史文化名城和历史文化街区、村镇的保护规划，应当符合文物保护的要求。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全国重点文物保护单位和省级文物保护单位自核定公布之日起1年内，由省、自治区、直辖市人民政府划定必要的保护范围，作出标志说明，建立记录档案，设置专门机构或者指定专人负责管理。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设区的市、自治州级和县级文物保护单位自核定公布之日起1年内，由核定公布该文物保护单位的人民政府划定保护范围，作出标志说明，建立记录档案，设置专门机构或者指定专人负责管理。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文物保护单位的保护范围，是指对文物保护单位本体及周围一定范围实施重点保护的区域。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文物保护单位的保护范围，应当根据文物保护单位的类别、规模、内容以及周围环境的历史和现实情况合理划定，并在文物保护单位本体之外保持一定的安全距离，确保文物保护单位的真实性和完整性。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文物保护单位的标志说明，应当包括文物保护单位的级别、名称、公布机关、公布日期、立标机关、立标日期等内容。民族自治地区的文物保护单位的标志说明，应当同时用规范汉字和当地通用的少数民族文字书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文物保护单位的记录档案，应当包括文物保护单位本体记录等科学技术资料和有关文献记载、行政管理等内容。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文物保护单位的记录档案，应当充分利用文字、音像制品、图画、拓片、摹本、电子文本等形式，有效表现其所载内容。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古文化遗址、古墓葬、石窟寺和属于国家所有的纪念建筑物、古建筑，被核定公布为文物保护单位的，由县级以上地方人民政府设置专门机构或者指定机构负责管理。其他文物保护单位，由县级以上地方人民政府设置专门机构或者指定机构、专人负责管理；指定专人负责管理的，可以采取聘请文物保护员的形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保护单位有使用单位的，使用单位应当设立群众性文物保护组织；没有使用单位的，文物保护单位所在地的村民委员会或者居民委员会可以设立群众性文物保护组织。文物行政主管部门应当对群众性文物保护组织的活动给予指导和支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负责管理文物保护单位的机构，应当建立健全规章制度，采取安全防范措施；其安全保卫人员，可以依法配备防卫器械。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文物保护单位的建设控制地带，是指在文物保护单位的保护范围外，为保护文物保护单位的安全、环境、历史风貌对建设项目加以限制的区域。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文物保护单位的建设控制地带，应当根据文物保护单位的类别、规模、内容以及周围环境的历史和现实情况合理划定。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全国重点文物保护单位的建设控制地带，经省、自治区、直辖市人民政府批准，由省、自治区、直辖市人民政府的文物行政主管部门会同城乡规划行政主管部门划定并公布。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省级、设区的市、自治州级和县级文物保护单位的建设控制地带，经省、自治区、直辖市人民政府批准，由核定公布该文物保护单位的人民政府的文物行政主管部门会同城乡规划行政主管部门划定并公布。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承担文物保护单位的修缮、迁移、重建工程的单位，应当同时取得文物行政主管部门发给的相应等级的文物保护工程资质证书和建设行政主管部门发给的相应等级的资质证书。其中，不涉及建筑活动的文物保护单位的修缮、迁移、重建，应当由取得文物行政主管部门发给的相应等级的文物保护工程资质证书的单位承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w:t>
      </w:r>
      <w:r>
        <w:rPr>
          <w:rFonts w:ascii="Times New Roman" w:hAnsi="Times New Roman" w:eastAsia="仿宋_GB2312" w:cs="Times New Roman"/>
          <w:spacing w:val="-6"/>
          <w:sz w:val="32"/>
          <w:szCs w:val="32"/>
        </w:rPr>
        <w:t>申领文物保护工程资质证书，应当具备下列条件：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(一)有取得文物博物专业技术职务的人员；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(二)有从事文物保护工程所需的技术设备；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(三)法律、行政法规规定的其他条件。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申领文物保护工程资质证书，应当向省、自治区、直辖市人民政府文物行政主管部门或者国务院文物行政主管部门提出申请。省、自治区、直辖市人民政府文物行政主管部门或者国务院文物行政主管部门应当自收到申请之日起30个工作日内作出批准或者不批准的决定。决定批准的，发给相应等级的文物保护工程资质证书；决定不批准的，应当书面通知当事人并说明理由。文物保护工程资质等级的分级标准和审批办法，由国务院文物行政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文物行政主管部门在审批文物保护单位的修缮计划和工程设计方案前，应当征求上一级人民政府文物行政主管部门的意见。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危害全国重点文物保护单位安全或者破坏其历史风貌的建筑物、构筑物，由省、自治区、直辖市人民政府负责调查处理。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危害省级、设区的市、自治州级、县级文物保护单位安全或者破坏其历史风貌的建筑物、构筑物，由核定公布该文物保护单位的人民政府负责调查处理。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危害尚未核定公布为文物保护单位的不可移动文物安全的建筑物、构筑物，由县级人民政府负责调查处理。</w:t>
      </w:r>
    </w:p>
    <w:p>
      <w:pPr>
        <w:pStyle w:val="3"/>
        <w:bidi w:val="0"/>
      </w:pPr>
      <w:r>
        <w:t>第三章　考古发掘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申请从事考古发掘的单位，取得考古发掘资质证书，应当具备下列条件：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(一)有4名以上接受过考古专业训练且主持过考古发掘项目的人员；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(二)有取得文物博物专业技术职务的人员；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(三)有从事文物安全保卫的专业人员；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(四)有从事考古发掘所需的技术设备；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(五)有保障文物安全的设施和场所；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申领考古发掘资质证书，应当向国务院文物行政主管部门提出申请。国务院文物行政主管部门应当自收到申请之日起30个工作日内作出批准或者不批准的决定。决定批准的，发给考古发掘资质证书；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考古发掘项目实行项目负责人负责制度。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配合建设工程进行的考古调查、勘探、发掘，由省、自治区、直辖市人民政府文物行政主管部门组织实施。跨省、自治区、直辖市的建设工程范围内的考古调查、勘探、发掘，由建设工程所在地的有关省、自治区、直辖市人民政府文物行政主管部门联合组织实施；其中，特别重要的建设工程范围内的考古调查、勘探、发掘，由国务院文物行政主管部门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建设单位对配合建设工程进行的考古调查、勘探、发掘，应当予以协助，不得妨碍考古调查、勘探、发掘。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国务院文物行政主管部门应当自收到文物保护法第三十条第一款规定的发掘计划之日起30个工作日内作出批准或者不批准决定。决定批准的，发给批准文件；决定不批准的，应当书面通知当事人并说明理由。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文物保护法第三十条第二款规定的抢救性发掘，省、自治区、直辖市人民政府文物行政主管部门应当自开工之日起10个工作日内向国务院文物行政主管部门补办审批手续。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考古调查、勘探、发掘所需经费的范围和标准，按照国家有关规定执行。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从事考古发掘的单位应当在考古发掘完成之日起30个工作日内向省、自治区、直辖市人民政府文物行政主管部门和国务院文物行政主管部门提交结项报告，并于提交结项报告之日起3年内向省、自治区、直辖市人民政府文物行政主管部门和国务院文物行政主管部门提交考古发掘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从事考古发掘的单位提交考古发掘报告后，经省、自治区、直辖市人民政府文物行政主管部门批准，可以保留少量出土文物作为科研标本，并应当于提交发掘报告之日起6个月内将其他出土文物移交给由省、自治区、直辖市人民政府文物行政主管部门指定的国有的博物馆、图书馆或者其他国有文物收藏单位收藏。</w:t>
      </w:r>
    </w:p>
    <w:p>
      <w:pPr>
        <w:pStyle w:val="3"/>
        <w:bidi w:val="0"/>
      </w:pPr>
      <w:r>
        <w:t>第四章　馆藏文物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文物收藏单位应当建立馆藏文物的接收、鉴定、登记、编目和档案制度，库房管理制度，出入库、注销和统计制度，保养、修复和复制制度。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省、自治区、直辖市人民政府文物行政主管部门应当将本行政区域内的一级文物藏品档案，报国务院文物行政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文物收藏单位之间借用馆藏文物，借用人应当对借用的馆藏文物采取必要的保护措施，确保文物的安全。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借用的馆藏文物的灭失、损坏风险，除当事人另有约定外，由借用该馆藏文物的文物收藏单位承担。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国有文物收藏单位未依照文物保护法第三十六条的规定建立馆藏文物档案并将馆藏文物档案报主管的文物行政主管部门备案的，不得交换、借用馆藏文物。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修复、复制、拓印馆藏二级文物和馆藏三级文物的，应当报省、自治区、直辖市人民政府文物行政主管部门批准；修复、复制、拓印馆藏一级文物的，应当报国务院文物行政主管部门批准。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从事馆藏文物修复、复制、拓印的单位，应当具备下列条件：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(一)有取得中级以上文物博物专业技术职务的人员；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(二)有从事馆藏文物修复、复制、拓印所需的场所和技术设备；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(三)法律、行政法规规定的其他条件。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从事馆藏文物修复、复制、拓印，应当向省、自治区、直辖市人民政府文物行政主管部门提出申请。省、自治区、直辖市人民政府文物行政主管部门应当自收到申请之日起30个工作日内作出批准或者不批准的决定。决定批准的，发给相应等级的资质证书；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为制作出版物、音像制品等拍摄馆藏文物的，应当征得文物收藏单位同意，并签署拍摄协议，明确文物保护措施和责任。文物收藏单位应当自拍摄工作完成后10个工作日内，将拍摄情况向文物行政主管部门报告。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馆藏文物被盗、被抢或者丢失的，文物收藏单位应当立即向公安机关报案，并同时向主管的文物行政主管部门报告；主管的文物行政主管部门应当在接到文物收藏单位的报告后24小时内，将有关情况报告国务院文物行政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国家机关和国有的企业、事业组织等收藏、保管国有文物的，应当履行下列义务：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(一)建立文物藏品档案制度，并将文物藏品档案报所在地省、自治区、直辖市人民政府文物行政主管部门备案；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(二)建立、健全文物藏品的保养、修复等管理制度，确保文物安全；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(三)文物藏品被盗、被抢或者丢失的，应当立即向公安机关报案，并同时向所在地省、自治区、直辖市人民政府文物行政主管部门报告。</w:t>
      </w:r>
    </w:p>
    <w:p>
      <w:pPr>
        <w:pStyle w:val="3"/>
        <w:bidi w:val="0"/>
      </w:pPr>
      <w:r>
        <w:t>第五章　民间收藏文物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文物收藏单位以外的公民、法人和其他组织，可以依法收藏文物，其依法收藏的文物的所有权受法律保护。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公民、法人和其他组织依法收藏文物的，可以要求文物行政主管部门对其收藏的文物提供鉴定、修复、保管等方面的咨询。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设立文物商店，应当具备下列条件：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(一)有200万元人民币以上的注册资本；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(二)有5名以上取得中级以上文物博物专业技术职务的人员；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(三)有保管文物的场所、设施和技术条件；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设立文物商店，应当向省、自治区、直辖市人民政府文物行政主管部门提出申请。省、自治区、直辖市人民政府文物行政主管部门应当自收到申请之日起30个工作日内作出批准或者不批准的决定。决定批准的，发给批准文件；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依法设立的拍卖企业，从事文物拍卖经营活动的，应当有5名以上取得高级文物博物专业技术职务的文物拍卖专业人员，并取得省、自治区、直辖市人民政府文物行政主管部门发给的文物拍卖许可证。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依法设立的拍卖企业申领文物拍卖许可证，应当向省、自治区、直辖市人民政府文物行政主管部门提出申请。省、自治区、直辖市人民政府文物行政主管部门应当自收到申请之日起30个工作日内作出批准或者不批准的决定。决定批准的，发给文物拍卖许可证；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文物商店购买、销售文物，经营文物拍卖的拍卖企业拍卖文物，应当记录文物的名称、图录、来源、文物的出卖人、委托人和买受人的姓名或者名称、住所、有效身份证件号码或者有效证照号码以及成交价格，并报省、自治区、直辖市人民政府文物行政主管部门备案。接受备案的文物行政主管部门应当依法为其保密，并将该记录保存75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文物行政主管部门应当加强对文物商店和经营文物拍卖的拍卖企业的监督检查。</w:t>
      </w:r>
    </w:p>
    <w:p>
      <w:pPr>
        <w:pStyle w:val="3"/>
        <w:bidi w:val="0"/>
      </w:pPr>
      <w:r>
        <w:t>第六章　文物出境进境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国务院文物行政主管部门指定的文物进出境审核机构，应当有5名以上取得中级以上文物博物专业技术职务的文物进出境责任鉴定人员。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运送、邮寄、携带文物出境，应当在文物出境前依法报文物进出境审核机构审核。文物进出境审核机构应当自收到申请之日起15个工作日内作出是否允许出境的决定。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文物进出</w:t>
      </w:r>
      <w:r>
        <w:rPr>
          <w:rFonts w:ascii="Times New Roman" w:hAnsi="Times New Roman" w:eastAsia="仿宋_GB2312" w:cs="Times New Roman"/>
          <w:spacing w:val="-6"/>
          <w:sz w:val="32"/>
          <w:szCs w:val="32"/>
        </w:rPr>
        <w:t>境审核机构审核文物，应当有3名以上文物博物专业技术人员参加；其中，应当有2名以上文物进出境责任</w:t>
      </w:r>
      <w:r>
        <w:rPr>
          <w:rFonts w:ascii="Times New Roman" w:hAnsi="Times New Roman" w:eastAsia="仿宋_GB2312" w:cs="Times New Roman"/>
          <w:sz w:val="32"/>
          <w:szCs w:val="32"/>
        </w:rPr>
        <w:t>鉴定人员。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文物出境审核意见，由文物进出境责任鉴定员共同签署；对经审核，文物进出境责任鉴定员一致同意允许出境的文物，文物进出境审核机构方可作出允许出境的决定。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文物出境审核标准，由国务院文物行政主管部门制定。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文物进出境审核机构应当对所审核进出境文物的名称、质地、尺寸、级别，当事人的姓名或者名称、住所、有效身份证件号码或者有效证照号码，以及进出境口岸、文物去向和审核日期等内容进行登记。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经审核允许出境的文物，由国务院文物行政主管部门发给文物出境许可证，并由文物进出境审核机构标明文物出境标识。经审核允许出境的文物，应当从国务院文物行政主管部门指定的口岸出境。海关查验文物出境标识后，凭文物出境许可证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经审核不允许出境的文物，由文物进出境审核机构发还当事人。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文物出境展览的承办单位，应当在举办展览前6个月向国务院文物行政主管部门提出申请。国务院文物行政主管部门应当自收到申请之日起30个工作日内作出批准或者不批准的决定。决定批准的，发给批准文件；决定不批准的，应当书面通知当事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一级文物展品超过120件(套)的，或者一级文物展品超过展品总数的20%的，应当报国务院批准。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一级文物中的孤品和易损品，禁止出境展览。禁止出境展览文物的目录，由国务院文物行政主管部门定期公布。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未曾在国内正式展出的文物，不得出境展览。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文物出境展览的期限不得超过1年。因特殊需要，经原审批机关批准可以延期；但是，延期最长不得超过1年。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文物出境展览期间，出现可能危及展览文物安全情形的，原审批机关可以决定中止或者撤销展览。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临时进境的文物，经海关将文物加封后，交由当事人报文物进出境审核机构审核、登记。文物进出境审核机构查验海关封志完好无损后，对每件临时进境文物标明文物临时进境标识，并登记拍照。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临时进境文物复出境时，应当由原审核、登记的文物进出境审核机构核对入境登记拍照记录，查验文物临时进境标识无误后标明文物出境标识，并由国务院文物行政主管部门发给文物出境许可证。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未履行本条第一款规定的手续临时进境的文物复出境的，依照本章关于文物出境的规定办理。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任何单位或者个人不得擅自剥除、更换、挪用或者损毁文物出境标识、文物临时进境标识。</w:t>
      </w:r>
    </w:p>
    <w:p>
      <w:pPr>
        <w:pStyle w:val="3"/>
        <w:bidi w:val="0"/>
      </w:pPr>
      <w:r>
        <w:t>第七章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公安机关、工商行政管理、文物、海关、城乡规划、建设等有关部门及其工作人员，违反本条例规定，滥用审批权限、不履行职责或者发现违法行为不予查处的，对负有责任的主管人员和其他直接责任人员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违反本条例规定，未取得建设行政主管部门发给的相应等级的资质证书，擅自承担含有建筑活动的文物保护单位的修缮、迁移、重建工程的，由建设行政主管部门依照有关法律、行政法规的规定予以处罚。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文物保护法第六十六条第二款规定的罚款，数额为200元以下。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违反本条例规定，未经批准擅自修复、复制、拓印馆藏珍贵文物的，由文物行政主管部门给予警告；造成严重后果的，处2000元以上2万元以下的罚款；对负有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文物收藏单位违反本条例规定，未在规定期限内将文物拍摄情况向文物行政主管部门报告的，由文物行政主管部门责令限期改正；逾期不改正的，对负有责任的主管人员和其他直接责任人员依法给予行政处分。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考古发掘单位违反本条例规定，未在规定期限内提交结项报告或者考古发掘报告的，由省、自治区、直辖市人民政府文物行政主管部门或者国务院文物行政主管部门责令限期改正；逾期不改正的，对负有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考古发掘单位违反本条例规定，未在规定期限内移交文物的，由省、自治区、直辖市人民政府文物行政主管部门或者国务院文物行政主管部门责令限期改正；逾期不改正，或者造成严重后果的，对负有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违反本条例规定，文物出境展览超过展览期限的，由国务院文物行政主管部门责令限期改正；对负有责任的主管人员和其他直接责任人员依法给予行政处分。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依照文物保护法第六十六条、第七十三条的规定，单位被处以吊销许可证行政处罚的，应当依法到工商行政管理部门办理变更登记或者注销登记；逾期未办理的，由工商行政管理部门吊销营业执照。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违反本条例规定，改变国有的博物馆、纪念馆、文物保护单位等的事业性收入的用途的，对负有责任的主管人员和其他直接责任人员依法给予行政处分；构成犯罪的，依法追究刑事责任。</w:t>
      </w:r>
    </w:p>
    <w:p>
      <w:pPr>
        <w:pStyle w:val="3"/>
        <w:bidi w:val="0"/>
      </w:pPr>
      <w:r>
        <w:t>第八章　附则</w:t>
      </w:r>
    </w:p>
    <w:p>
      <w:pPr>
        <w:pStyle w:val="3"/>
        <w:bidi w:val="0"/>
        <w:rPr>
          <w:rFonts w:hint="eastAsia"/>
          <w:lang w:eastAsia="zh-CN"/>
        </w:rPr>
      </w:pPr>
      <w:bookmarkStart w:id="0" w:name="_GoBack"/>
      <w:bookmarkEnd w:id="0"/>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本条例自2003年7月1日起施行。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441328"/>
    <w:rsid w:val="06A0228E"/>
    <w:rsid w:val="07405EF4"/>
    <w:rsid w:val="0788080A"/>
    <w:rsid w:val="07E71367"/>
    <w:rsid w:val="08FF0C17"/>
    <w:rsid w:val="094845F0"/>
    <w:rsid w:val="0963250F"/>
    <w:rsid w:val="09723D9C"/>
    <w:rsid w:val="097F7BAD"/>
    <w:rsid w:val="09B60066"/>
    <w:rsid w:val="0A6253E6"/>
    <w:rsid w:val="0A6920EC"/>
    <w:rsid w:val="0A8C2526"/>
    <w:rsid w:val="0AE962F4"/>
    <w:rsid w:val="0AEB2A0D"/>
    <w:rsid w:val="0B3D0578"/>
    <w:rsid w:val="0C255D01"/>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9212F7"/>
    <w:rsid w:val="2096095A"/>
    <w:rsid w:val="20D86240"/>
    <w:rsid w:val="21CE0F2E"/>
    <w:rsid w:val="221D0BEA"/>
    <w:rsid w:val="22DD4281"/>
    <w:rsid w:val="23F47CAC"/>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9E7C4D"/>
    <w:rsid w:val="2ED32E01"/>
    <w:rsid w:val="2FF20DF5"/>
    <w:rsid w:val="318138A8"/>
    <w:rsid w:val="31F05688"/>
    <w:rsid w:val="320E2B0A"/>
    <w:rsid w:val="32252208"/>
    <w:rsid w:val="330D4027"/>
    <w:rsid w:val="3330356C"/>
    <w:rsid w:val="33CF5811"/>
    <w:rsid w:val="34031BBE"/>
    <w:rsid w:val="349C60FB"/>
    <w:rsid w:val="35095248"/>
    <w:rsid w:val="355560D1"/>
    <w:rsid w:val="386D21AD"/>
    <w:rsid w:val="387E7233"/>
    <w:rsid w:val="39C71577"/>
    <w:rsid w:val="3A7915E5"/>
    <w:rsid w:val="3B1265AF"/>
    <w:rsid w:val="3B596812"/>
    <w:rsid w:val="3BA0652C"/>
    <w:rsid w:val="3CA23060"/>
    <w:rsid w:val="3CAF6F9F"/>
    <w:rsid w:val="3CDF39C7"/>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B0E8A"/>
    <w:rsid w:val="45866A2B"/>
    <w:rsid w:val="46D80A88"/>
    <w:rsid w:val="47A250A3"/>
    <w:rsid w:val="48AC4D69"/>
    <w:rsid w:val="494B3B16"/>
    <w:rsid w:val="49C224BB"/>
    <w:rsid w:val="4A4F5FBC"/>
    <w:rsid w:val="4A732A37"/>
    <w:rsid w:val="4DC87E21"/>
    <w:rsid w:val="4E6A2FDF"/>
    <w:rsid w:val="4ED87164"/>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715924"/>
    <w:rsid w:val="6A403C00"/>
    <w:rsid w:val="6B4C7D1B"/>
    <w:rsid w:val="6C267EB4"/>
    <w:rsid w:val="6D1363D3"/>
    <w:rsid w:val="6D15429C"/>
    <w:rsid w:val="6D614426"/>
    <w:rsid w:val="6DA577A5"/>
    <w:rsid w:val="6DB8609B"/>
    <w:rsid w:val="6DB87D30"/>
    <w:rsid w:val="6E804287"/>
    <w:rsid w:val="6EB30283"/>
    <w:rsid w:val="6F605325"/>
    <w:rsid w:val="70817970"/>
    <w:rsid w:val="710F6DBE"/>
    <w:rsid w:val="712B5699"/>
    <w:rsid w:val="72352912"/>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5A0FB0"/>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2019-12-25T11:24:28Z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