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</w:rPr>
        <w:t>对不服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西岗区城市管理综合行政执法局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，可自收到本处罚决定书之日起六十日内向西岗区人民政府（地址：西岗区北京街77号）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或大连市城市管理局（地址：</w:t>
      </w:r>
      <w:r>
        <w:fldChar w:fldCharType="begin"/>
      </w:r>
      <w:r>
        <w:instrText xml:space="preserve"> HYPERLINK "https://ditu.so.com/?k=%E5%A4%A7%E8%BF%9E%E5%B8%82%E8%A5%BF%E5%B2%97%E5%8C%BA%E9%AB%98%E5%B0%94%E5%9F%BA%E8%B7%AF16%E5%8F%B7&amp;src=onebox" \t "https://www.so.com/_blank" \o "大连市西岗区高尔基路16号" </w:instrText>
      </w:r>
      <w:r>
        <w:fldChar w:fldCharType="separate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大连市西岗区高尔基路16号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申请行政复议。也可以在收到本处罚决定书之日起六个月内向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旅顺口区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人民法院提起行政诉讼。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2021-01-18T07:42:55Z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