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52" w:rsidRDefault="008C0F64" w:rsidP="00FB2D52">
      <w:pPr>
        <w:pStyle w:val="a5"/>
        <w:spacing w:line="600" w:lineRule="exact"/>
        <w:jc w:val="center"/>
        <w:rPr>
          <w:rFonts w:ascii="方正小标宋简体" w:eastAsia="方正小标宋简体" w:hint="eastAsia"/>
          <w:sz w:val="44"/>
          <w:szCs w:val="44"/>
        </w:rPr>
      </w:pPr>
      <w:r w:rsidRPr="00FB2D52">
        <w:rPr>
          <w:rFonts w:ascii="方正小标宋简体" w:eastAsia="方正小标宋简体" w:hint="eastAsia"/>
          <w:sz w:val="44"/>
          <w:szCs w:val="44"/>
        </w:rPr>
        <w:t>西岗区财政局重大行政执法决定</w:t>
      </w:r>
    </w:p>
    <w:p w:rsidR="008C0F64" w:rsidRPr="00FB2D52" w:rsidRDefault="008C0F64" w:rsidP="00FB2D52">
      <w:pPr>
        <w:pStyle w:val="a5"/>
        <w:spacing w:line="600" w:lineRule="exact"/>
        <w:jc w:val="center"/>
        <w:rPr>
          <w:rFonts w:ascii="方正小标宋简体" w:eastAsia="方正小标宋简体" w:hint="eastAsia"/>
          <w:sz w:val="44"/>
          <w:szCs w:val="44"/>
        </w:rPr>
      </w:pPr>
      <w:r w:rsidRPr="00FB2D52">
        <w:rPr>
          <w:rFonts w:ascii="方正小标宋简体" w:eastAsia="方正小标宋简体" w:hint="eastAsia"/>
          <w:sz w:val="44"/>
          <w:szCs w:val="44"/>
        </w:rPr>
        <w:t>法制审核办法</w:t>
      </w:r>
    </w:p>
    <w:p w:rsidR="008C0F64" w:rsidRPr="008C0F64" w:rsidRDefault="008C0F64" w:rsidP="008C0F64">
      <w:pPr>
        <w:widowControl/>
        <w:shd w:val="clear" w:color="auto" w:fill="FFFFFF"/>
        <w:spacing w:line="630" w:lineRule="atLeast"/>
        <w:jc w:val="left"/>
        <w:rPr>
          <w:rFonts w:ascii="宋体" w:eastAsia="宋体" w:hAnsi="宋体" w:cs="宋体"/>
          <w:color w:val="444444"/>
          <w:kern w:val="0"/>
          <w:sz w:val="24"/>
          <w:szCs w:val="24"/>
        </w:rPr>
      </w:pPr>
      <w:r w:rsidRPr="008C0F64">
        <w:rPr>
          <w:rFonts w:ascii="宋体" w:eastAsia="宋体" w:hAnsi="宋体" w:cs="宋体"/>
          <w:color w:val="444444"/>
          <w:kern w:val="0"/>
          <w:sz w:val="24"/>
          <w:szCs w:val="24"/>
        </w:rPr>
        <w:t> </w:t>
      </w:r>
    </w:p>
    <w:p w:rsidR="008C0F64" w:rsidRPr="00FB2D52" w:rsidRDefault="008C0F64" w:rsidP="008C0F64">
      <w:pPr>
        <w:widowControl/>
        <w:shd w:val="clear" w:color="auto" w:fill="FFFFFF"/>
        <w:spacing w:line="630" w:lineRule="atLeast"/>
        <w:jc w:val="center"/>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重大行政执法决定法制审核办法</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第一条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为了有效保护公民、法人和其他组织的合法权益，坚持严格规范公正文明执法，加强对重大</w:t>
      </w:r>
      <w:bookmarkStart w:id="0" w:name="_GoBack"/>
      <w:r w:rsidRPr="00FB2D52">
        <w:rPr>
          <w:rFonts w:ascii="仿宋_GB2312" w:eastAsia="仿宋_GB2312" w:hAnsi="宋体" w:cs="宋体" w:hint="eastAsia"/>
          <w:color w:val="444444"/>
          <w:kern w:val="0"/>
          <w:sz w:val="32"/>
          <w:szCs w:val="32"/>
        </w:rPr>
        <w:t>行政执法</w:t>
      </w:r>
      <w:bookmarkEnd w:id="0"/>
      <w:r w:rsidRPr="00FB2D52">
        <w:rPr>
          <w:rFonts w:ascii="仿宋_GB2312" w:eastAsia="仿宋_GB2312" w:hAnsi="宋体" w:cs="宋体" w:hint="eastAsia"/>
          <w:color w:val="444444"/>
          <w:kern w:val="0"/>
          <w:sz w:val="32"/>
          <w:szCs w:val="32"/>
        </w:rPr>
        <w:t>行为的监督，根据有关法律、法规、规章以及《辽宁省重大行政执法决定法制审核办法》的规定，结合我委实际，制定本办法。</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第二条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本办法所称重大行政执法决定法制审核，是指本机关在</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重大行政执法决定之前，由局法制机构对其合法性进行审核的活动。</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受委托组织在委托范围内</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重大行政执法决定前，由</w:t>
      </w:r>
      <w:proofErr w:type="gramStart"/>
      <w:r w:rsidRPr="00FB2D52">
        <w:rPr>
          <w:rFonts w:ascii="仿宋_GB2312" w:eastAsia="仿宋_GB2312" w:hAnsi="宋体" w:cs="宋体" w:hint="eastAsia"/>
          <w:color w:val="444444"/>
          <w:kern w:val="0"/>
          <w:sz w:val="32"/>
          <w:szCs w:val="32"/>
        </w:rPr>
        <w:t>委法制</w:t>
      </w:r>
      <w:proofErr w:type="gramEnd"/>
      <w:r w:rsidRPr="00FB2D52">
        <w:rPr>
          <w:rFonts w:ascii="仿宋_GB2312" w:eastAsia="仿宋_GB2312" w:hAnsi="宋体" w:cs="宋体" w:hint="eastAsia"/>
          <w:color w:val="444444"/>
          <w:kern w:val="0"/>
          <w:sz w:val="32"/>
          <w:szCs w:val="32"/>
        </w:rPr>
        <w:t>机构进行审核，也可以由局法制机构会同受委托组织的法制机构（指定机构）进行审核。</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未经法制审核或法制机构提出不同意审核意见的，不得</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重大行政执法决定。</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第三条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行政执法承办处室和单位（以下简称“承办处室”）</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重大行政执法决定，具有下列情形之一的，应当在</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决定前进行法制审核：</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w:t>
      </w:r>
      <w:proofErr w:type="gramStart"/>
      <w:r w:rsidRPr="00FB2D52">
        <w:rPr>
          <w:rFonts w:ascii="仿宋_GB2312" w:eastAsia="仿宋_GB2312" w:hAnsi="宋体" w:cs="宋体" w:hint="eastAsia"/>
          <w:color w:val="444444"/>
          <w:kern w:val="0"/>
          <w:sz w:val="32"/>
          <w:szCs w:val="32"/>
        </w:rPr>
        <w:t>一</w:t>
      </w:r>
      <w:proofErr w:type="gramEnd"/>
      <w:r w:rsidRPr="00FB2D52">
        <w:rPr>
          <w:rFonts w:ascii="仿宋_GB2312" w:eastAsia="仿宋_GB2312" w:hAnsi="宋体" w:cs="宋体" w:hint="eastAsia"/>
          <w:color w:val="444444"/>
          <w:kern w:val="0"/>
          <w:sz w:val="32"/>
          <w:szCs w:val="32"/>
        </w:rPr>
        <w:t>)涉及重大公共利益、可能造成重大社会影响或引发社会风险的;</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lastRenderedPageBreak/>
        <w:t>(二)直接关系行政相对人或第三人重大权益的；</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(三)需经听证</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行政执法决定的;</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(四)拟撤回、撤销行政许可决定的；</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(五)情况疑难复杂,涉及多个法律关系的;</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(六)对公民处以罚款和没收违法所得或者没收非法财物1万元以上；</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(七)对法人或者其他组织除依法适用简易程序实施的行政处罚以外的全部行政处罚；</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(八)其他法律、法规、规章规定应当进行法制审核的。</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具体事项</w:t>
      </w:r>
      <w:proofErr w:type="gramStart"/>
      <w:r w:rsidRPr="00FB2D52">
        <w:rPr>
          <w:rFonts w:ascii="仿宋_GB2312" w:eastAsia="仿宋_GB2312" w:hAnsi="宋体" w:cs="宋体" w:hint="eastAsia"/>
          <w:color w:val="444444"/>
          <w:kern w:val="0"/>
          <w:sz w:val="32"/>
          <w:szCs w:val="32"/>
        </w:rPr>
        <w:t>按重大</w:t>
      </w:r>
      <w:proofErr w:type="gramEnd"/>
      <w:r w:rsidRPr="00FB2D52">
        <w:rPr>
          <w:rFonts w:ascii="仿宋_GB2312" w:eastAsia="仿宋_GB2312" w:hAnsi="宋体" w:cs="宋体" w:hint="eastAsia"/>
          <w:color w:val="444444"/>
          <w:kern w:val="0"/>
          <w:sz w:val="32"/>
          <w:szCs w:val="32"/>
        </w:rPr>
        <w:t>行政执法决定法制审核目录清单执行。对重大行政执法决定范围不明确的，承办处室可以事前与法制机构沟通。</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重大行政执法决定法制审核目录清单应根据法律、法规、规章的</w:t>
      </w:r>
      <w:proofErr w:type="gramStart"/>
      <w:r w:rsidRPr="00FB2D52">
        <w:rPr>
          <w:rFonts w:ascii="仿宋_GB2312" w:eastAsia="仿宋_GB2312" w:hAnsi="宋体" w:cs="宋体" w:hint="eastAsia"/>
          <w:color w:val="444444"/>
          <w:kern w:val="0"/>
          <w:sz w:val="32"/>
          <w:szCs w:val="32"/>
        </w:rPr>
        <w:t>立改废</w:t>
      </w:r>
      <w:proofErr w:type="gramEnd"/>
      <w:r w:rsidRPr="00FB2D52">
        <w:rPr>
          <w:rFonts w:ascii="仿宋_GB2312" w:eastAsia="仿宋_GB2312" w:hAnsi="宋体" w:cs="宋体" w:hint="eastAsia"/>
          <w:color w:val="444444"/>
          <w:kern w:val="0"/>
          <w:sz w:val="32"/>
          <w:szCs w:val="32"/>
        </w:rPr>
        <w:t>，及时动态调整。</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第四条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拟作出重大行政执法决定的，承办科室应提出明确承办意见，由承办科室负责人签字同意后，报分管领导签字前，</w:t>
      </w:r>
      <w:proofErr w:type="gramStart"/>
      <w:r w:rsidRPr="00FB2D52">
        <w:rPr>
          <w:rFonts w:ascii="仿宋_GB2312" w:eastAsia="仿宋_GB2312" w:hAnsi="宋体" w:cs="宋体" w:hint="eastAsia"/>
          <w:color w:val="444444"/>
          <w:kern w:val="0"/>
          <w:sz w:val="32"/>
          <w:szCs w:val="32"/>
        </w:rPr>
        <w:t>送局法制</w:t>
      </w:r>
      <w:proofErr w:type="gramEnd"/>
      <w:r w:rsidRPr="00FB2D52">
        <w:rPr>
          <w:rFonts w:ascii="仿宋_GB2312" w:eastAsia="仿宋_GB2312" w:hAnsi="宋体" w:cs="宋体" w:hint="eastAsia"/>
          <w:color w:val="444444"/>
          <w:kern w:val="0"/>
          <w:sz w:val="32"/>
          <w:szCs w:val="32"/>
        </w:rPr>
        <w:t>机构审核。</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需要征求局内其他业务处室、</w:t>
      </w:r>
      <w:proofErr w:type="gramStart"/>
      <w:r w:rsidRPr="00FB2D52">
        <w:rPr>
          <w:rFonts w:ascii="仿宋_GB2312" w:eastAsia="仿宋_GB2312" w:hAnsi="宋体" w:cs="宋体" w:hint="eastAsia"/>
          <w:color w:val="444444"/>
          <w:kern w:val="0"/>
          <w:sz w:val="32"/>
          <w:szCs w:val="32"/>
        </w:rPr>
        <w:t>委属单位</w:t>
      </w:r>
      <w:proofErr w:type="gramEnd"/>
      <w:r w:rsidRPr="00FB2D52">
        <w:rPr>
          <w:rFonts w:ascii="仿宋_GB2312" w:eastAsia="仿宋_GB2312" w:hAnsi="宋体" w:cs="宋体" w:hint="eastAsia"/>
          <w:color w:val="444444"/>
          <w:kern w:val="0"/>
          <w:sz w:val="32"/>
          <w:szCs w:val="32"/>
        </w:rPr>
        <w:t>或者其他部门意见的，承办处室应当在送审前征求意见，并为法制审核预留合理时间。不得以法制审核为由，变相增加行政许可办理时间。</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第五条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承办科室在送审时应当提交以下材料：</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lastRenderedPageBreak/>
        <w:t>(</w:t>
      </w:r>
      <w:proofErr w:type="gramStart"/>
      <w:r w:rsidRPr="00FB2D52">
        <w:rPr>
          <w:rFonts w:ascii="仿宋_GB2312" w:eastAsia="仿宋_GB2312" w:hAnsi="宋体" w:cs="宋体" w:hint="eastAsia"/>
          <w:color w:val="444444"/>
          <w:kern w:val="0"/>
          <w:sz w:val="32"/>
          <w:szCs w:val="32"/>
        </w:rPr>
        <w:t>一</w:t>
      </w:r>
      <w:proofErr w:type="gramEnd"/>
      <w:r w:rsidRPr="00FB2D52">
        <w:rPr>
          <w:rFonts w:ascii="仿宋_GB2312" w:eastAsia="仿宋_GB2312" w:hAnsi="宋体" w:cs="宋体" w:hint="eastAsia"/>
          <w:color w:val="444444"/>
          <w:kern w:val="0"/>
          <w:sz w:val="32"/>
          <w:szCs w:val="32"/>
        </w:rPr>
        <w:t>)拟作出重大行政执法决定的情况说明。载明执法案件基本事实、适用法律、法规、规章和执行裁量权基准情况、执法人员资格情况；</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(二)拟定的重大行政执法决定书文本；</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(三)相关证据资料和法律依据材料；</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(四)经过听证程序的，应当提交听证笔录；</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(五)经过评估、鉴定或者专家评审的，应当提交评估、鉴定报告或者评审意见；</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(六)其他有关材料。</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第六条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法制机构对承办处室报送的案件材料以书面审核为主。法制机构收到送审的材料后，应及时进行审查，材料齐全的，应当受理；材料不齐全的，可以要求承办处室在2个工作日内进行补充；逾期不补充的，予以退回。</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第七条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法制机构应当自收到重大行政执法决定送审材料（需补充材料的，从材料全部补充完毕之日）起7</w:t>
      </w:r>
      <w:r w:rsidRPr="00FB2D52">
        <w:rPr>
          <w:rFonts w:ascii="仿宋_GB2312" w:eastAsia="仿宋_GB2312" w:hAnsi="宋体" w:cs="宋体" w:hint="eastAsia"/>
          <w:color w:val="444444"/>
          <w:kern w:val="0"/>
          <w:sz w:val="32"/>
          <w:szCs w:val="32"/>
        </w:rPr>
        <w:t> </w:t>
      </w:r>
      <w:proofErr w:type="gramStart"/>
      <w:r w:rsidRPr="00FB2D52">
        <w:rPr>
          <w:rFonts w:ascii="仿宋_GB2312" w:eastAsia="仿宋_GB2312" w:hAnsi="宋体" w:cs="宋体" w:hint="eastAsia"/>
          <w:color w:val="444444"/>
          <w:kern w:val="0"/>
          <w:sz w:val="32"/>
          <w:szCs w:val="32"/>
        </w:rPr>
        <w:t>个</w:t>
      </w:r>
      <w:proofErr w:type="gramEnd"/>
      <w:r w:rsidRPr="00FB2D52">
        <w:rPr>
          <w:rFonts w:ascii="仿宋_GB2312" w:eastAsia="仿宋_GB2312" w:hAnsi="宋体" w:cs="宋体" w:hint="eastAsia"/>
          <w:color w:val="444444"/>
          <w:kern w:val="0"/>
          <w:sz w:val="32"/>
          <w:szCs w:val="32"/>
        </w:rPr>
        <w:t>工作日内完成审核；案件复杂的，经分管法制工作的负责人批准可以延长3个工作日。</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重大行政执法决定法制审核应当在法律、法规、规章规定和承诺</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行政执法决定的期限内完成。补充材料、专家论证、征询意见时间不计入审核时限。</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第八条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法制机构对拟作出的重大行政执法决定从以下几个方面进行审核：</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lastRenderedPageBreak/>
        <w:t>(</w:t>
      </w:r>
      <w:proofErr w:type="gramStart"/>
      <w:r w:rsidRPr="00FB2D52">
        <w:rPr>
          <w:rFonts w:ascii="仿宋_GB2312" w:eastAsia="仿宋_GB2312" w:hAnsi="宋体" w:cs="宋体" w:hint="eastAsia"/>
          <w:color w:val="444444"/>
          <w:kern w:val="0"/>
          <w:sz w:val="32"/>
          <w:szCs w:val="32"/>
        </w:rPr>
        <w:t>一</w:t>
      </w:r>
      <w:proofErr w:type="gramEnd"/>
      <w:r w:rsidRPr="00FB2D52">
        <w:rPr>
          <w:rFonts w:ascii="仿宋_GB2312" w:eastAsia="仿宋_GB2312" w:hAnsi="宋体" w:cs="宋体" w:hint="eastAsia"/>
          <w:color w:val="444444"/>
          <w:kern w:val="0"/>
          <w:sz w:val="32"/>
          <w:szCs w:val="32"/>
        </w:rPr>
        <w:t>)执法主体是否合法，执法人员是否具备执法资格；</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(二)执法程序是否符合法定要求；</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(三)主要事实是否清楚，证据是否确凿、充分；</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(四)适用法律、法规、规章是否准确，裁量基准运用是否适当；</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(五)是否超越执法机关法定权限或滥用职权;</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(六)执法文书的制作是否规范、齐备；</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(七)需要进行审核的其他内容。</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第九条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法制机构对拟作出的重大行政执法决定，根据以下情况，提出相应的书面意见或建议：</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w:t>
      </w:r>
      <w:proofErr w:type="gramStart"/>
      <w:r w:rsidRPr="00FB2D52">
        <w:rPr>
          <w:rFonts w:ascii="仿宋_GB2312" w:eastAsia="仿宋_GB2312" w:hAnsi="宋体" w:cs="宋体" w:hint="eastAsia"/>
          <w:color w:val="444444"/>
          <w:kern w:val="0"/>
          <w:sz w:val="32"/>
          <w:szCs w:val="32"/>
        </w:rPr>
        <w:t>一</w:t>
      </w:r>
      <w:proofErr w:type="gramEnd"/>
      <w:r w:rsidRPr="00FB2D52">
        <w:rPr>
          <w:rFonts w:ascii="仿宋_GB2312" w:eastAsia="仿宋_GB2312" w:hAnsi="宋体" w:cs="宋体" w:hint="eastAsia"/>
          <w:color w:val="444444"/>
          <w:kern w:val="0"/>
          <w:sz w:val="32"/>
          <w:szCs w:val="32"/>
        </w:rPr>
        <w:t>)行政执法主体和执法人员具备资格，事实清楚、证据确凿、适用依据准确，程序合法、执行裁量权基准适当，法律文书制作规范的，提出同意的审核意见；</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(二)对超越本机关法定权限，或者存在滥用职权的，提出不同意的审核意见；</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(三)对事实不清、证据不足的，执法文书不规范的，提出补充的审核意见；</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(四)对定性不准、适用依据错误，或者不符合自由裁量权规定的，提出修正的审核意见；</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(五)对违反法定程序的，提出纠正的审核意见；</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(六)超出本机关管辖范围或涉嫌犯罪的，提出移交、移送意见。</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lastRenderedPageBreak/>
        <w:t>法制机构应当制作《重大行政执法决定法制审核意见书》一式两份，一份留存归档，一份连同案卷材料回复承办处室。承办处室应将《重大行政执法决定法制审核意见书》存入执法案卷。</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第十条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法制机构进行重大行政执法决定法制审核，可以组织相关方面的专家、法律顾问、公职律师协助进行研究，提出意见建议，也可以委托第三</w:t>
      </w:r>
      <w:proofErr w:type="gramStart"/>
      <w:r w:rsidRPr="00FB2D52">
        <w:rPr>
          <w:rFonts w:ascii="仿宋_GB2312" w:eastAsia="仿宋_GB2312" w:hAnsi="宋体" w:cs="宋体" w:hint="eastAsia"/>
          <w:color w:val="444444"/>
          <w:kern w:val="0"/>
          <w:sz w:val="32"/>
          <w:szCs w:val="32"/>
        </w:rPr>
        <w:t>方专业</w:t>
      </w:r>
      <w:proofErr w:type="gramEnd"/>
      <w:r w:rsidRPr="00FB2D52">
        <w:rPr>
          <w:rFonts w:ascii="仿宋_GB2312" w:eastAsia="仿宋_GB2312" w:hAnsi="宋体" w:cs="宋体" w:hint="eastAsia"/>
          <w:color w:val="444444"/>
          <w:kern w:val="0"/>
          <w:sz w:val="32"/>
          <w:szCs w:val="32"/>
        </w:rPr>
        <w:t>机构研讨论证或书面请示上级有关部门。</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第十一条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承办科室应当对法制机构审核意见</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相应的办理：</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w:t>
      </w:r>
      <w:proofErr w:type="gramStart"/>
      <w:r w:rsidRPr="00FB2D52">
        <w:rPr>
          <w:rFonts w:ascii="仿宋_GB2312" w:eastAsia="仿宋_GB2312" w:hAnsi="宋体" w:cs="宋体" w:hint="eastAsia"/>
          <w:color w:val="444444"/>
          <w:kern w:val="0"/>
          <w:sz w:val="32"/>
          <w:szCs w:val="32"/>
        </w:rPr>
        <w:t>一</w:t>
      </w:r>
      <w:proofErr w:type="gramEnd"/>
      <w:r w:rsidRPr="00FB2D52">
        <w:rPr>
          <w:rFonts w:ascii="仿宋_GB2312" w:eastAsia="仿宋_GB2312" w:hAnsi="宋体" w:cs="宋体" w:hint="eastAsia"/>
          <w:color w:val="444444"/>
          <w:kern w:val="0"/>
          <w:sz w:val="32"/>
          <w:szCs w:val="32"/>
        </w:rPr>
        <w:t>)承办科室对法制机构审核意见研究采纳后，依法定程序</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行政执法决定。法制机构提出不同意审核意见的，不得</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行政执法决定。</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(二)承办科室对法制机构审核意见有异议的，应报请分管负责人决定或集体讨论决定。</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第十二条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行政执法机关主要负责人是我局重大行政执法决定法制审核制度的第一责任人，对我局</w:t>
      </w:r>
      <w:proofErr w:type="gramStart"/>
      <w:r w:rsidRPr="00FB2D52">
        <w:rPr>
          <w:rFonts w:ascii="仿宋_GB2312" w:eastAsia="仿宋_GB2312" w:hAnsi="宋体" w:cs="宋体" w:hint="eastAsia"/>
          <w:color w:val="444444"/>
          <w:kern w:val="0"/>
          <w:sz w:val="32"/>
          <w:szCs w:val="32"/>
        </w:rPr>
        <w:t>作出</w:t>
      </w:r>
      <w:proofErr w:type="gramEnd"/>
      <w:r w:rsidRPr="00FB2D52">
        <w:rPr>
          <w:rFonts w:ascii="仿宋_GB2312" w:eastAsia="仿宋_GB2312" w:hAnsi="宋体" w:cs="宋体" w:hint="eastAsia"/>
          <w:color w:val="444444"/>
          <w:kern w:val="0"/>
          <w:sz w:val="32"/>
          <w:szCs w:val="32"/>
        </w:rPr>
        <w:t>的行政执法决定负责；法制审核人员与行政相对人有直接利害关系的，应当回避。</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承办科室对送审材料的真实性、完整性、准确性，以及执法的事实、证据、法律适用、程序的合法性负责。</w:t>
      </w:r>
    </w:p>
    <w:p w:rsidR="008C0F64" w:rsidRPr="00FB2D52" w:rsidRDefault="008C0F64" w:rsidP="008C0F64">
      <w:pPr>
        <w:widowControl/>
        <w:shd w:val="clear" w:color="auto" w:fill="FFFFFF"/>
        <w:spacing w:line="630" w:lineRule="atLeast"/>
        <w:ind w:firstLine="640"/>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color w:val="444444"/>
          <w:kern w:val="0"/>
          <w:sz w:val="32"/>
          <w:szCs w:val="32"/>
        </w:rPr>
        <w:t>法制机构对重大行政执法决定法制审核意见负责。</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lastRenderedPageBreak/>
        <w:t>第十三条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我局行政执法人员、法制机构审核人员因不履行或不正确履行本办法规定职责，导致重大行政执法决定错误、造成严重后果的，依法追究相关人员的责任。</w:t>
      </w:r>
    </w:p>
    <w:p w:rsidR="008C0F64" w:rsidRPr="00FB2D52" w:rsidRDefault="008C0F64" w:rsidP="008C0F64">
      <w:pPr>
        <w:widowControl/>
        <w:shd w:val="clear" w:color="auto" w:fill="FFFFFF"/>
        <w:spacing w:line="630" w:lineRule="atLeast"/>
        <w:ind w:firstLine="643"/>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第十四条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本办法由政策法规处负责解释。</w:t>
      </w:r>
    </w:p>
    <w:p w:rsidR="008C0F64" w:rsidRPr="00FB2D52" w:rsidRDefault="008C0F64" w:rsidP="008C0F64">
      <w:pPr>
        <w:widowControl/>
        <w:shd w:val="clear" w:color="auto" w:fill="FFFFFF"/>
        <w:spacing w:line="630" w:lineRule="atLeast"/>
        <w:jc w:val="left"/>
        <w:rPr>
          <w:rFonts w:ascii="仿宋_GB2312" w:eastAsia="仿宋_GB2312" w:hAnsi="宋体" w:cs="宋体" w:hint="eastAsia"/>
          <w:color w:val="444444"/>
          <w:kern w:val="0"/>
          <w:sz w:val="32"/>
          <w:szCs w:val="32"/>
        </w:rPr>
      </w:pPr>
      <w:r w:rsidRPr="00FB2D52">
        <w:rPr>
          <w:rFonts w:ascii="仿宋_GB2312" w:eastAsia="仿宋_GB2312" w:hAnsi="宋体" w:cs="宋体" w:hint="eastAsia"/>
          <w:b/>
          <w:bCs/>
          <w:color w:val="444444"/>
          <w:kern w:val="0"/>
          <w:sz w:val="32"/>
          <w:szCs w:val="32"/>
        </w:rPr>
        <w:t> </w:t>
      </w:r>
      <w:r w:rsidRPr="00FB2D52">
        <w:rPr>
          <w:rFonts w:ascii="仿宋_GB2312" w:eastAsia="仿宋_GB2312" w:hAnsi="宋体" w:cs="宋体" w:hint="eastAsia"/>
          <w:b/>
          <w:bCs/>
          <w:color w:val="444444"/>
          <w:kern w:val="0"/>
          <w:sz w:val="32"/>
          <w:szCs w:val="32"/>
        </w:rPr>
        <w:t xml:space="preserve">   第十五条</w:t>
      </w:r>
      <w:r w:rsidRPr="00FB2D52">
        <w:rPr>
          <w:rFonts w:ascii="仿宋_GB2312" w:eastAsia="仿宋_GB2312" w:hAnsi="宋体" w:cs="宋体" w:hint="eastAsia"/>
          <w:color w:val="444444"/>
          <w:kern w:val="0"/>
          <w:sz w:val="32"/>
          <w:szCs w:val="32"/>
        </w:rPr>
        <w:t> </w:t>
      </w:r>
      <w:r w:rsidRPr="00FB2D52">
        <w:rPr>
          <w:rFonts w:ascii="仿宋_GB2312" w:eastAsia="仿宋_GB2312" w:hAnsi="宋体" w:cs="宋体" w:hint="eastAsia"/>
          <w:color w:val="444444"/>
          <w:kern w:val="0"/>
          <w:sz w:val="32"/>
          <w:szCs w:val="32"/>
        </w:rPr>
        <w:t xml:space="preserve"> 本办法自发布之日起施行。</w:t>
      </w:r>
    </w:p>
    <w:p w:rsidR="000D1C78" w:rsidRPr="008C0F64" w:rsidRDefault="000D1C78"/>
    <w:sectPr w:rsidR="000D1C78" w:rsidRPr="008C0F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5A" w:rsidRDefault="00ED4C5A" w:rsidP="008C0F64">
      <w:r>
        <w:separator/>
      </w:r>
    </w:p>
  </w:endnote>
  <w:endnote w:type="continuationSeparator" w:id="0">
    <w:p w:rsidR="00ED4C5A" w:rsidRDefault="00ED4C5A" w:rsidP="008C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5A" w:rsidRDefault="00ED4C5A" w:rsidP="008C0F64">
      <w:r>
        <w:separator/>
      </w:r>
    </w:p>
  </w:footnote>
  <w:footnote w:type="continuationSeparator" w:id="0">
    <w:p w:rsidR="00ED4C5A" w:rsidRDefault="00ED4C5A" w:rsidP="008C0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62"/>
    <w:rsid w:val="000D1C78"/>
    <w:rsid w:val="00174CB4"/>
    <w:rsid w:val="005A6662"/>
    <w:rsid w:val="008C0F64"/>
    <w:rsid w:val="00ED4C5A"/>
    <w:rsid w:val="00FB2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C0F6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FB2D5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B2D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F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0F64"/>
    <w:rPr>
      <w:sz w:val="18"/>
      <w:szCs w:val="18"/>
    </w:rPr>
  </w:style>
  <w:style w:type="paragraph" w:styleId="a4">
    <w:name w:val="footer"/>
    <w:basedOn w:val="a"/>
    <w:link w:val="Char0"/>
    <w:uiPriority w:val="99"/>
    <w:unhideWhenUsed/>
    <w:rsid w:val="008C0F64"/>
    <w:pPr>
      <w:tabs>
        <w:tab w:val="center" w:pos="4153"/>
        <w:tab w:val="right" w:pos="8306"/>
      </w:tabs>
      <w:snapToGrid w:val="0"/>
      <w:jc w:val="left"/>
    </w:pPr>
    <w:rPr>
      <w:sz w:val="18"/>
      <w:szCs w:val="18"/>
    </w:rPr>
  </w:style>
  <w:style w:type="character" w:customStyle="1" w:styleId="Char0">
    <w:name w:val="页脚 Char"/>
    <w:basedOn w:val="a0"/>
    <w:link w:val="a4"/>
    <w:uiPriority w:val="99"/>
    <w:rsid w:val="008C0F64"/>
    <w:rPr>
      <w:sz w:val="18"/>
      <w:szCs w:val="18"/>
    </w:rPr>
  </w:style>
  <w:style w:type="character" w:customStyle="1" w:styleId="1Char">
    <w:name w:val="标题 1 Char"/>
    <w:basedOn w:val="a0"/>
    <w:link w:val="1"/>
    <w:uiPriority w:val="9"/>
    <w:rsid w:val="008C0F64"/>
    <w:rPr>
      <w:rFonts w:ascii="宋体" w:eastAsia="宋体" w:hAnsi="宋体" w:cs="宋体"/>
      <w:b/>
      <w:bCs/>
      <w:kern w:val="36"/>
      <w:sz w:val="48"/>
      <w:szCs w:val="48"/>
    </w:rPr>
  </w:style>
  <w:style w:type="character" w:customStyle="1" w:styleId="time">
    <w:name w:val="time"/>
    <w:basedOn w:val="a0"/>
    <w:rsid w:val="008C0F64"/>
  </w:style>
  <w:style w:type="character" w:customStyle="1" w:styleId="2Char">
    <w:name w:val="标题 2 Char"/>
    <w:basedOn w:val="a0"/>
    <w:link w:val="2"/>
    <w:uiPriority w:val="9"/>
    <w:rsid w:val="00FB2D5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B2D52"/>
    <w:rPr>
      <w:b/>
      <w:bCs/>
      <w:sz w:val="32"/>
      <w:szCs w:val="32"/>
    </w:rPr>
  </w:style>
  <w:style w:type="paragraph" w:styleId="a5">
    <w:name w:val="No Spacing"/>
    <w:uiPriority w:val="1"/>
    <w:qFormat/>
    <w:rsid w:val="00FB2D52"/>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C0F6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FB2D5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B2D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F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0F64"/>
    <w:rPr>
      <w:sz w:val="18"/>
      <w:szCs w:val="18"/>
    </w:rPr>
  </w:style>
  <w:style w:type="paragraph" w:styleId="a4">
    <w:name w:val="footer"/>
    <w:basedOn w:val="a"/>
    <w:link w:val="Char0"/>
    <w:uiPriority w:val="99"/>
    <w:unhideWhenUsed/>
    <w:rsid w:val="008C0F64"/>
    <w:pPr>
      <w:tabs>
        <w:tab w:val="center" w:pos="4153"/>
        <w:tab w:val="right" w:pos="8306"/>
      </w:tabs>
      <w:snapToGrid w:val="0"/>
      <w:jc w:val="left"/>
    </w:pPr>
    <w:rPr>
      <w:sz w:val="18"/>
      <w:szCs w:val="18"/>
    </w:rPr>
  </w:style>
  <w:style w:type="character" w:customStyle="1" w:styleId="Char0">
    <w:name w:val="页脚 Char"/>
    <w:basedOn w:val="a0"/>
    <w:link w:val="a4"/>
    <w:uiPriority w:val="99"/>
    <w:rsid w:val="008C0F64"/>
    <w:rPr>
      <w:sz w:val="18"/>
      <w:szCs w:val="18"/>
    </w:rPr>
  </w:style>
  <w:style w:type="character" w:customStyle="1" w:styleId="1Char">
    <w:name w:val="标题 1 Char"/>
    <w:basedOn w:val="a0"/>
    <w:link w:val="1"/>
    <w:uiPriority w:val="9"/>
    <w:rsid w:val="008C0F64"/>
    <w:rPr>
      <w:rFonts w:ascii="宋体" w:eastAsia="宋体" w:hAnsi="宋体" w:cs="宋体"/>
      <w:b/>
      <w:bCs/>
      <w:kern w:val="36"/>
      <w:sz w:val="48"/>
      <w:szCs w:val="48"/>
    </w:rPr>
  </w:style>
  <w:style w:type="character" w:customStyle="1" w:styleId="time">
    <w:name w:val="time"/>
    <w:basedOn w:val="a0"/>
    <w:rsid w:val="008C0F64"/>
  </w:style>
  <w:style w:type="character" w:customStyle="1" w:styleId="2Char">
    <w:name w:val="标题 2 Char"/>
    <w:basedOn w:val="a0"/>
    <w:link w:val="2"/>
    <w:uiPriority w:val="9"/>
    <w:rsid w:val="00FB2D5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B2D52"/>
    <w:rPr>
      <w:b/>
      <w:bCs/>
      <w:sz w:val="32"/>
      <w:szCs w:val="32"/>
    </w:rPr>
  </w:style>
  <w:style w:type="paragraph" w:styleId="a5">
    <w:name w:val="No Spacing"/>
    <w:uiPriority w:val="1"/>
    <w:qFormat/>
    <w:rsid w:val="00FB2D5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1502">
      <w:bodyDiv w:val="1"/>
      <w:marLeft w:val="0"/>
      <w:marRight w:val="0"/>
      <w:marTop w:val="0"/>
      <w:marBottom w:val="0"/>
      <w:divBdr>
        <w:top w:val="none" w:sz="0" w:space="0" w:color="auto"/>
        <w:left w:val="none" w:sz="0" w:space="0" w:color="auto"/>
        <w:bottom w:val="none" w:sz="0" w:space="0" w:color="auto"/>
        <w:right w:val="none" w:sz="0" w:space="0" w:color="auto"/>
      </w:divBdr>
      <w:divsChild>
        <w:div w:id="283850877">
          <w:marLeft w:val="0"/>
          <w:marRight w:val="0"/>
          <w:marTop w:val="0"/>
          <w:marBottom w:val="0"/>
          <w:divBdr>
            <w:top w:val="none" w:sz="0" w:space="0" w:color="auto"/>
            <w:left w:val="none" w:sz="0" w:space="0" w:color="auto"/>
            <w:bottom w:val="none" w:sz="0" w:space="0" w:color="auto"/>
            <w:right w:val="none" w:sz="0" w:space="0" w:color="auto"/>
          </w:divBdr>
          <w:divsChild>
            <w:div w:id="3586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  典</dc:creator>
  <cp:keywords/>
  <dc:description/>
  <cp:lastModifiedBy>戚  典</cp:lastModifiedBy>
  <cp:revision>3</cp:revision>
  <dcterms:created xsi:type="dcterms:W3CDTF">2020-04-17T06:04:00Z</dcterms:created>
  <dcterms:modified xsi:type="dcterms:W3CDTF">2020-04-20T05:30:00Z</dcterms:modified>
</cp:coreProperties>
</file>